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490AA">
      <w:pPr>
        <w:pStyle w:val="2"/>
        <w:kinsoku/>
        <w:spacing w:line="560" w:lineRule="exact"/>
        <w:jc w:val="both"/>
        <w:rPr>
          <w:rFonts w:hint="default" w:ascii="Times New Roman" w:hAnsi="Times New Roman" w:cs="Times New Roman"/>
          <w:color w:val="auto"/>
          <w:sz w:val="21"/>
          <w:lang w:eastAsia="zh-CN"/>
        </w:rPr>
      </w:pPr>
      <w:r>
        <w:rPr>
          <w:rFonts w:hint="default" w:ascii="Times New Roman" w:hAnsi="Times New Roman" w:eastAsia="仿宋_GB2312" w:cs="Times New Roman"/>
          <w:color w:val="000000" w:themeColor="text1"/>
          <w:kern w:val="2"/>
          <w:sz w:val="32"/>
          <w:szCs w:val="28"/>
          <w:lang w:eastAsia="zh-CN"/>
          <w14:textFill>
            <w14:solidFill>
              <w14:schemeClr w14:val="tx1"/>
            </w14:solidFill>
          </w14:textFill>
        </w:rPr>
        <w:t>附件1</w:t>
      </w:r>
    </w:p>
    <w:p w14:paraId="763ADF80">
      <w:pPr>
        <w:pStyle w:val="2"/>
        <w:kinsoku/>
        <w:spacing w:before="312" w:beforeLines="100" w:after="312" w:afterLines="100"/>
        <w:jc w:val="center"/>
        <w:rPr>
          <w:rFonts w:ascii="方正小标宋简体" w:hAnsi="方正小标宋简体" w:eastAsia="方正小标宋简体" w:cs="方正小标宋简体"/>
          <w:color w:val="auto"/>
          <w:lang w:eastAsia="zh-CN"/>
        </w:rPr>
      </w:pPr>
      <w:r>
        <w:rPr>
          <w:rFonts w:hint="eastAsia" w:ascii="方正小标宋简体" w:hAnsi="方正小标宋简体" w:eastAsia="方正小标宋简体" w:cs="方正小标宋简体"/>
          <w:color w:val="auto"/>
          <w:lang w:eastAsia="zh-CN"/>
        </w:rPr>
        <w:t>中外人文交流友谊学院项目内容与预期成效</w:t>
      </w:r>
    </w:p>
    <w:p w14:paraId="70303E3A">
      <w:pPr>
        <w:pStyle w:val="2"/>
        <w:kinsoku/>
        <w:spacing w:line="560" w:lineRule="exact"/>
        <w:ind w:firstLine="649"/>
        <w:jc w:val="both"/>
        <w:rPr>
          <w:rFonts w:hint="default"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8"/>
          <w:sz w:val="32"/>
          <w:szCs w:val="32"/>
          <w:lang w:eastAsia="zh-CN"/>
        </w:rPr>
        <w:t>中外人文交流友谊学院（下称友谊学院）是中方院校“走</w:t>
      </w:r>
      <w:r>
        <w:rPr>
          <w:rFonts w:hint="default" w:ascii="Times New Roman" w:hAnsi="Times New Roman" w:eastAsia="仿宋_GB2312" w:cs="Times New Roman"/>
          <w:color w:val="auto"/>
          <w:spacing w:val="-7"/>
          <w:sz w:val="32"/>
          <w:szCs w:val="32"/>
          <w:lang w:eastAsia="zh-CN"/>
        </w:rPr>
        <w:t>出去”、与外方院校联合举办的境外办学项目或机构；或为</w:t>
      </w:r>
      <w:r>
        <w:rPr>
          <w:rFonts w:hint="default" w:ascii="Times New Roman" w:hAnsi="Times New Roman" w:eastAsia="仿宋_GB2312" w:cs="Times New Roman"/>
          <w:color w:val="auto"/>
          <w:spacing w:val="-6"/>
          <w:sz w:val="32"/>
          <w:szCs w:val="32"/>
          <w:lang w:eastAsia="zh-CN"/>
        </w:rPr>
        <w:t>中外共建的海外职业技术学院或应用技术大学；或为在境外</w:t>
      </w:r>
      <w:r>
        <w:rPr>
          <w:rFonts w:hint="default" w:ascii="Times New Roman" w:hAnsi="Times New Roman" w:eastAsia="仿宋_GB2312" w:cs="Times New Roman"/>
          <w:color w:val="auto"/>
          <w:spacing w:val="-8"/>
          <w:sz w:val="32"/>
          <w:szCs w:val="32"/>
          <w:lang w:eastAsia="zh-CN"/>
        </w:rPr>
        <w:t>中资企业园区开办的培训基地。友谊学院办学形式为</w:t>
      </w:r>
      <w:r>
        <w:rPr>
          <w:rFonts w:hint="default" w:ascii="Times New Roman" w:hAnsi="Times New Roman" w:eastAsia="仿宋_GB2312" w:cs="Times New Roman"/>
          <w:color w:val="auto"/>
          <w:spacing w:val="-6"/>
          <w:sz w:val="32"/>
          <w:szCs w:val="32"/>
          <w:lang w:eastAsia="zh-CN"/>
        </w:rPr>
        <w:t>学历教育或非学历培训，专业设置</w:t>
      </w:r>
      <w:bookmarkStart w:id="0" w:name="_GoBack"/>
      <w:bookmarkEnd w:id="0"/>
      <w:r>
        <w:rPr>
          <w:rFonts w:hint="default" w:ascii="Times New Roman" w:hAnsi="Times New Roman" w:eastAsia="仿宋_GB2312" w:cs="Times New Roman"/>
          <w:color w:val="auto"/>
          <w:spacing w:val="-6"/>
          <w:sz w:val="32"/>
          <w:szCs w:val="32"/>
          <w:lang w:eastAsia="zh-CN"/>
        </w:rPr>
        <w:t>和招生数量有一定规模，</w:t>
      </w:r>
      <w:r>
        <w:rPr>
          <w:rFonts w:hint="default" w:ascii="Times New Roman" w:hAnsi="Times New Roman" w:eastAsia="仿宋_GB2312" w:cs="Times New Roman"/>
          <w:color w:val="auto"/>
          <w:spacing w:val="-8"/>
          <w:sz w:val="32"/>
          <w:szCs w:val="32"/>
          <w:lang w:eastAsia="zh-CN"/>
        </w:rPr>
        <w:t>学历教育或非学历培训招生对象均</w:t>
      </w:r>
      <w:r>
        <w:rPr>
          <w:rFonts w:hint="default" w:ascii="Times New Roman" w:hAnsi="Times New Roman" w:eastAsia="仿宋_GB2312" w:cs="Times New Roman"/>
          <w:color w:val="auto"/>
          <w:spacing w:val="-6"/>
          <w:sz w:val="32"/>
          <w:szCs w:val="32"/>
          <w:lang w:eastAsia="zh-CN"/>
        </w:rPr>
        <w:t>为境外公民。友谊学院办学种类多元，结合学历教育、技能培训、职业资格认证、汉语推广等形式，为“走出去”企业定向培养本土化人才，是“教随产出、产教同行”和中方高校服务“一带一路”的有效实践，也是高校全面提升国际化</w:t>
      </w:r>
      <w:r>
        <w:rPr>
          <w:rFonts w:hint="default" w:ascii="Times New Roman" w:hAnsi="Times New Roman" w:eastAsia="仿宋_GB2312" w:cs="Times New Roman"/>
          <w:color w:val="auto"/>
          <w:spacing w:val="-11"/>
          <w:sz w:val="32"/>
          <w:szCs w:val="32"/>
          <w:lang w:eastAsia="zh-CN"/>
        </w:rPr>
        <w:t>办学能力的具体举措。</w:t>
      </w:r>
    </w:p>
    <w:p w14:paraId="22AA30DA">
      <w:pPr>
        <w:pStyle w:val="2"/>
        <w:numPr>
          <w:ilvl w:val="0"/>
          <w:numId w:val="1"/>
        </w:numPr>
        <w:kinsoku/>
        <w:spacing w:line="560" w:lineRule="exact"/>
        <w:ind w:firstLine="649"/>
        <w:jc w:val="both"/>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联合开展境外学历教育</w:t>
      </w:r>
    </w:p>
    <w:p w14:paraId="3B6D70D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在境外开展本科或专科层次的学历教育项目，招收当地高中毕业生，注册中外院校“双学籍”。若中方办学主体为本科层次院校，学生完成四年的学习任务并完成毕业设计和答辩后，可获得中外方双本科文凭。本科层次项目采用“2+1+1”（2年国外校区，1年中方校区，1年国外校区）联合培养模式，校-企-校分阶段联合培养方式。若中方办学主体为专科层次院校，学生完成三年人才培养方案规定的学分并完成毕业设计和答辩后，可获得中外方双专科文凭。</w:t>
      </w:r>
    </w:p>
    <w:p w14:paraId="2B73F72A">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9"/>
        <w:jc w:val="both"/>
        <w:textAlignment w:val="baseline"/>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开发具有国际影响力的教育教学标准</w:t>
      </w:r>
    </w:p>
    <w:p w14:paraId="5BD6C45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9"/>
        <w:jc w:val="both"/>
        <w:textAlignment w:val="baseline"/>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遵循共商共建原则，立足中国教育实践经验和标准体系，聚焦境外办学实际需求，联合中外教育机构共同开发兼具国际适用性与本土适配性的专业标准与课程标准。依托友谊学院合作办学平台，制定符合办学所在地教育法规与产业需求的职业培训方案或专业教学计划，推动标准获得办学所在地官方认证，逐步构建具有国际影响力的专业标准体系，并参与完善当地资历框架建设。针对境外学生学情特点，采用“需求导向、分层设计”的课程开发模式，联合所在地院校定制专业课程体系，通过试点推广、联合教研等方式促进中外课程有机融合，持续提升中国教育标准的国际认可度，为打造具有全球竞争力的专业品牌奠定基础。</w:t>
      </w:r>
    </w:p>
    <w:p w14:paraId="068E9374">
      <w:pPr>
        <w:pStyle w:val="2"/>
        <w:kinsoku/>
        <w:spacing w:line="560" w:lineRule="exact"/>
        <w:ind w:firstLine="649"/>
        <w:jc w:val="both"/>
        <w:rPr>
          <w:rFonts w:hint="default" w:ascii="Times New Roman" w:hAnsi="Times New Roman" w:eastAsia="黑体" w:cs="Times New Roman"/>
          <w:strike/>
          <w:color w:val="auto"/>
          <w:spacing w:val="-11"/>
          <w:sz w:val="32"/>
          <w:szCs w:val="32"/>
          <w:lang w:eastAsia="zh-CN"/>
        </w:rPr>
      </w:pPr>
      <w:r>
        <w:rPr>
          <w:rFonts w:hint="default" w:ascii="Times New Roman" w:hAnsi="Times New Roman" w:eastAsia="黑体" w:cs="Times New Roman"/>
          <w:color w:val="auto"/>
          <w:spacing w:val="-11"/>
          <w:sz w:val="32"/>
          <w:szCs w:val="32"/>
          <w:lang w:eastAsia="zh-CN"/>
        </w:rPr>
        <w:t>三、开发具有国际影响力的教育教学资源</w:t>
      </w:r>
    </w:p>
    <w:p w14:paraId="5E1E9D0D">
      <w:pPr>
        <w:pStyle w:val="2"/>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围绕友谊学院办学专业，发挥中方院校的课程资源优势，建设双语课程资源及国际在线精品课程，开发兼具专业性、国际性和实践性的优质课程资源。中方院校牵头开发产教融合特征显著、国际适应性强的优质教育教学资源，包括但不限于教材、课程资源、培训资源等。在保留中国标准和特色的前提下，以当地教育部对教材使用、专业设置、课程内容等的具体要求为依据，结合当地劳动力市场及中资企业人才需求，对开发的教学资源适当进行本土化改造并且开展数字化教学资源库的建设。</w:t>
      </w:r>
    </w:p>
    <w:p w14:paraId="6EB7F5F6">
      <w:pPr>
        <w:pStyle w:val="2"/>
        <w:widowControl w:val="0"/>
        <w:numPr>
          <w:ilvl w:val="0"/>
          <w:numId w:val="2"/>
        </w:numPr>
        <w:kinsoku/>
        <w:autoSpaceDE/>
        <w:autoSpaceDN/>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在课程资源方面，包括但不限于：优化课程结构，围绕境外办学专业，开发国际在线课程，建设国际双语或多语种在线精品课程，同时，将建成的双语在线课程资源进行持续推广，扩大课程的国际辐射范围，推动课程资源的跨境共享。</w:t>
      </w:r>
    </w:p>
    <w:p w14:paraId="4C689D41">
      <w:pPr>
        <w:pStyle w:val="2"/>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二）在教学资源方面：依托友谊学院境外办学平台，立足中方院校的优势专业，开发具有国际影响力的数字化资源，包括但不限于对已有教材进行翻译、数字化建设，形成兼具技术前瞻性与教学实用性的双语数字化教材；开展数字化国际教学资源库建设，丰富资源形态，大力开发数字教材，集纳教辅、教案、课件、教学设计、虚拟仿真实验资源，汇聚部署职能作业、互动课堂、线上教研、辅助阅卷、教育评价等数字教育工具和平台，提升在线资源与不同国家个体学习差异性的匹配度。</w:t>
      </w:r>
    </w:p>
    <w:p w14:paraId="2850C16A">
      <w:pPr>
        <w:pStyle w:val="2"/>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三）将建成的数字化教材通过专业出版渠道进行出版及推广，推动教材在国际职业教育领域的应用，推动教材不仅成为知识传授的载体，更成为连接中外职业教育标准、促进技能互认的桥梁，逐步在国际职业教育领域树立“中国编写、国际适用”的教材品牌，助力友谊学院的专业教学资源走向更广阔的国际舞台。</w:t>
      </w:r>
    </w:p>
    <w:p w14:paraId="1DB62B07">
      <w:pPr>
        <w:pStyle w:val="2"/>
        <w:kinsoku/>
        <w:spacing w:line="560" w:lineRule="exact"/>
        <w:ind w:firstLine="649"/>
        <w:jc w:val="both"/>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四、建设国际化师资队伍</w:t>
      </w:r>
    </w:p>
    <w:p w14:paraId="7FA36361">
      <w:pPr>
        <w:pStyle w:val="2"/>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以提升国内教师国际教学能力与跨文化沟通素养为核心，选拔具备扎实专业功底的优秀师资赴境外授课，让教师深度了解境外教育模式、学生特点及行业需求，积累国际教学经验。</w:t>
      </w:r>
    </w:p>
    <w:p w14:paraId="51A75252">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在境外授课期间，教师不仅承担专业课程教学任务，更有机会深度融入当地教育生态，如参与合作院校的教学研讨与课程设计会议，系统调研境外教育模式的特点与优势；通过课堂互动、课后辅导等方式，精准捕捉不同文化背景学生的学习习惯与认知需求；走访当地企业与行业协会，实时掌握境外相关行业的发展趋势与人才标准，将一线信息转化为教学内容更新的依据。助力教师成长为既精通专业教学规律，又熟谙国际教育规则，能灵活运用双语开展跨文化教学的国际双语教师，为学校国际化教学水平的提升奠定坚实基础。</w:t>
      </w:r>
    </w:p>
    <w:p w14:paraId="427B9AA4">
      <w:pPr>
        <w:pStyle w:val="2"/>
        <w:widowControl w:val="0"/>
        <w:kinsoku/>
        <w:spacing w:line="560" w:lineRule="exact"/>
        <w:ind w:firstLine="646"/>
        <w:jc w:val="both"/>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五、构建国际化的产教融合实训体系，打造校企协同创新平台</w:t>
      </w:r>
    </w:p>
    <w:p w14:paraId="4778B72A">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一）校企共建技术研发中心/联合实验室，聚焦智能制造、数字经济等领域，开发适配专业核心课程的智能实训装备或实训系统，将行业前沿技术转化为教学资源，实现技术迭代与教学升级同步。形成技术研发与装备制造的融合。</w:t>
      </w:r>
    </w:p>
    <w:p w14:paraId="307706CE">
      <w:pPr>
        <w:pStyle w:val="2"/>
        <w:numPr>
          <w:ilvl w:val="0"/>
          <w:numId w:val="3"/>
        </w:numPr>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结合友谊学院办学特色与当地产业需求，联合优质企业共建真实场景、开放共享、技术前沿的实训基地，将研发出的实训装备或实训系统运用于实训基地中，形成“教学-研发-应用”的闭环生态。</w:t>
      </w:r>
    </w:p>
    <w:p w14:paraId="2ECBA78F">
      <w:pPr>
        <w:pStyle w:val="2"/>
        <w:numPr>
          <w:ilvl w:val="0"/>
          <w:numId w:val="3"/>
        </w:numPr>
        <w:kinsoku/>
        <w:spacing w:line="560" w:lineRule="exact"/>
        <w:ind w:firstLine="649"/>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在实训基地中，采用“标准装备+课程体系+认证模式”的模式，建设虚拟仿真实训集群，开发覆盖专业核心课程的VR/AR实训模块，通过“虚拟预演+实操验证+智能评估”的三阶模式降低高危高成本实训风险。通过打造境外实训中心（含实训室、虚拟仿真实训室及教学中心），构建场景真实、设备共享、资源开放的产教融合实践教学基地，实现教学与生产、毕业与上岗的无缝衔接。</w:t>
      </w:r>
    </w:p>
    <w:p w14:paraId="3B845A8F">
      <w:pPr>
        <w:pStyle w:val="2"/>
        <w:kinsoku/>
        <w:spacing w:line="560" w:lineRule="exact"/>
        <w:ind w:firstLine="649"/>
        <w:jc w:val="both"/>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六、服务国际产能合作与境外中资企业，培养本土化技能人才</w:t>
      </w:r>
    </w:p>
    <w:p w14:paraId="6CC15CED">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一）深化校企协同育人。推动境外中资企业与友谊学院深度合作，通过共建课程、定向培养等方式，精准对接境外中资企业生产实际需求，培养符合境外种子企业岗位要求的本土技能人才。同时，依托境外中资企业挂牌实习基地，为学员提供真实的岗位实践机会，提升职业技能与岗位适配度，有效缓解企业本土人才短缺问题。</w:t>
      </w:r>
    </w:p>
    <w:p w14:paraId="3A517DF3">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二）打造“中文+职业技能”培训体系。以“中文+职业技能”培训为核心抓手，联合中外院校共建培训中心，针对“走出去”企业或境外园区的需求，开发模块化培训资源包（如：中文+机械操作，中文+酒店管理等），并制定配套技能培训标准。通过系统化、个性化的培训服务，为境外企业员工、社会技术技能人才及院校师生提供语言与技能融合的赋能支持，助力国际产能合作向纵深发展。</w:t>
      </w:r>
    </w:p>
    <w:p w14:paraId="75500F90">
      <w:pPr>
        <w:pStyle w:val="2"/>
        <w:widowControl w:val="0"/>
        <w:kinsoku/>
        <w:spacing w:line="560" w:lineRule="exact"/>
        <w:ind w:firstLine="649"/>
        <w:jc w:val="both"/>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lang w:eastAsia="zh-CN"/>
        </w:rPr>
        <w:t>七、搭建中外人文交流平台</w:t>
      </w:r>
    </w:p>
    <w:p w14:paraId="1F39EB82">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参与友谊学院建设的各主体单位，联合开展专业技能互相切磋、文化分享、专题研讨、师生互访等形式多样的中外人文交流活动，促进中外民心相通、文明互鉴。</w:t>
      </w:r>
    </w:p>
    <w:p w14:paraId="49A082D4">
      <w:pPr>
        <w:pStyle w:val="2"/>
        <w:widowControl w:val="0"/>
        <w:kinsoku/>
        <w:spacing w:line="560" w:lineRule="exact"/>
        <w:ind w:firstLine="646"/>
        <w:jc w:val="both"/>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pacing w:val="-8"/>
          <w:sz w:val="32"/>
          <w:szCs w:val="32"/>
          <w:lang w:eastAsia="zh-CN"/>
        </w:rPr>
        <w:t>每年在不同地区及高校组织国际化办学经验分享，必要时组织项目年度推进会等，分享友谊学院建设成果，交流建设经验，提升项目和院校国际影响力。</w:t>
      </w:r>
    </w:p>
    <w:p w14:paraId="622F6BE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8D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E78E08">
                          <w:pPr>
                            <w:pStyle w:val="3"/>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r>
                            <w:rPr>
                              <w:rFonts w:hint="default" w:asciiTheme="minorAscii" w:hAnsiTheme="minorAscii"/>
                            </w:rPr>
                            <w:t xml:space="preserve"> / </w:t>
                          </w:r>
                          <w:r>
                            <w:rPr>
                              <w:rFonts w:hint="default" w:asciiTheme="minorAscii" w:hAnsiTheme="minorAscii"/>
                            </w:rPr>
                            <w:fldChar w:fldCharType="begin"/>
                          </w:r>
                          <w:r>
                            <w:rPr>
                              <w:rFonts w:hint="default" w:asciiTheme="minorAscii" w:hAnsiTheme="minorAscii"/>
                            </w:rPr>
                            <w:instrText xml:space="preserve"> NUMPAGES  \* MERGEFORMAT </w:instrText>
                          </w:r>
                          <w:r>
                            <w:rPr>
                              <w:rFonts w:hint="default" w:asciiTheme="minorAscii" w:hAnsiTheme="minorAscii"/>
                            </w:rPr>
                            <w:fldChar w:fldCharType="separate"/>
                          </w:r>
                          <w:r>
                            <w:rPr>
                              <w:rFonts w:hint="default" w:asciiTheme="minorAscii" w:hAnsiTheme="minorAscii"/>
                            </w:rPr>
                            <w:t>5</w:t>
                          </w:r>
                          <w:r>
                            <w:rPr>
                              <w:rFonts w:hint="default" w:asciiTheme="minorAscii" w:hAnsiTheme="minorAsci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5E78E08">
                    <w:pPr>
                      <w:pStyle w:val="3"/>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r>
                      <w:rPr>
                        <w:rFonts w:hint="default" w:asciiTheme="minorAscii" w:hAnsiTheme="minorAscii"/>
                      </w:rPr>
                      <w:t xml:space="preserve"> / </w:t>
                    </w:r>
                    <w:r>
                      <w:rPr>
                        <w:rFonts w:hint="default" w:asciiTheme="minorAscii" w:hAnsiTheme="minorAscii"/>
                      </w:rPr>
                      <w:fldChar w:fldCharType="begin"/>
                    </w:r>
                    <w:r>
                      <w:rPr>
                        <w:rFonts w:hint="default" w:asciiTheme="minorAscii" w:hAnsiTheme="minorAscii"/>
                      </w:rPr>
                      <w:instrText xml:space="preserve"> NUMPAGES  \* MERGEFORMAT </w:instrText>
                    </w:r>
                    <w:r>
                      <w:rPr>
                        <w:rFonts w:hint="default" w:asciiTheme="minorAscii" w:hAnsiTheme="minorAscii"/>
                      </w:rPr>
                      <w:fldChar w:fldCharType="separate"/>
                    </w:r>
                    <w:r>
                      <w:rPr>
                        <w:rFonts w:hint="default" w:asciiTheme="minorAscii" w:hAnsiTheme="minorAscii"/>
                      </w:rPr>
                      <w:t>5</w:t>
                    </w:r>
                    <w:r>
                      <w:rPr>
                        <w:rFonts w:hint="default" w:asciiTheme="minorAscii" w:hAnsiTheme="minorAscii"/>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4D68"/>
    <w:multiLevelType w:val="singleLevel"/>
    <w:tmpl w:val="F7FE4D68"/>
    <w:lvl w:ilvl="0" w:tentative="0">
      <w:start w:val="2"/>
      <w:numFmt w:val="chineseCounting"/>
      <w:suff w:val="nothing"/>
      <w:lvlText w:val="（%1）"/>
      <w:lvlJc w:val="left"/>
      <w:rPr>
        <w:rFonts w:hint="eastAsia"/>
      </w:rPr>
    </w:lvl>
  </w:abstractNum>
  <w:abstractNum w:abstractNumId="1">
    <w:nsid w:val="29481BBE"/>
    <w:multiLevelType w:val="singleLevel"/>
    <w:tmpl w:val="29481BBE"/>
    <w:lvl w:ilvl="0" w:tentative="0">
      <w:start w:val="1"/>
      <w:numFmt w:val="chineseCounting"/>
      <w:suff w:val="nothing"/>
      <w:lvlText w:val="%1、"/>
      <w:lvlJc w:val="left"/>
      <w:rPr>
        <w:rFonts w:hint="eastAsia"/>
      </w:rPr>
    </w:lvl>
  </w:abstractNum>
  <w:abstractNum w:abstractNumId="2">
    <w:nsid w:val="736F4F0E"/>
    <w:multiLevelType w:val="singleLevel"/>
    <w:tmpl w:val="736F4F0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958C3"/>
    <w:rsid w:val="6AD958C3"/>
    <w:rsid w:val="723C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1"/>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36"/>
      <w:szCs w:val="36"/>
      <w:lang w:val="en-US" w:eastAsia="en-US" w:bidi="ar-SA"/>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2025-11-07T08:02:00Z</dcterms:created>
  <dc:creator>universe</dc:creator>
  <cp:lastModifiedBy>universe</cp:lastModifiedBy>
  <dcterms:modified xsi:type="dcterms:W3CDTF">2025-11-07T08:03:31Z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998A1442DA8A46EAB8069C115C59033B_11</vt:lpwstr>
  </property>
  <property fmtid="{D5CDD505-2E9C-101B-9397-08002B2CF9AE}" pid="4" name="KSOTemplateDocerSaveRecord">
    <vt:lpwstr>eyJoZGlkIjoiNzViZWE1ZmZhN2QyMDg3M2YzZDY5MDk3NTc5ZTg4ODgiLCJ1c2VySWQiOiIyODI4NTc3MDcifQ==</vt:lpwstr>
  </property>
</Properties>
</file>