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安徽省新型产业共性技术研究中心</w:t>
      </w:r>
    </w:p>
    <w:p>
      <w:pPr>
        <w:spacing w:line="560" w:lineRule="exact"/>
        <w:jc w:val="center"/>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建设指南</w:t>
      </w:r>
    </w:p>
    <w:p>
      <w:pPr>
        <w:spacing w:line="560" w:lineRule="exact"/>
        <w:ind w:firstLine="420" w:firstLineChars="200"/>
      </w:pPr>
    </w:p>
    <w:p>
      <w:pPr>
        <w:spacing w:line="56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为精准对接我省十大新兴产业发展需求，着力解决关键共性技术和“卡脖子”难题，推动更多科研成果走出实验室、走向生产线，省教育厅、省发改委决定联合启动安徽省新型产业共性技术研究中心建设工作，特编制本指南。</w:t>
      </w:r>
    </w:p>
    <w:p>
      <w:pPr>
        <w:numPr>
          <w:ilvl w:val="0"/>
          <w:numId w:val="1"/>
        </w:numPr>
        <w:spacing w:line="560" w:lineRule="exact"/>
        <w:ind w:firstLine="640" w:firstLineChars="200"/>
        <w:rPr>
          <w:rFonts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总体要求</w:t>
      </w:r>
    </w:p>
    <w:p>
      <w:pPr>
        <w:spacing w:line="56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以习近平新时代中国特色社会主义思想为指导，全面落实省第十一次党代会精神，坚定不移打造具有重要影响力的“三地一区”，坚持以服务十大新兴产业发展为中心，充分发挥地方政府资源统筹优势、高校科研和人才优势、企业创新与转化优势，布局和建设一批新型产业共性技术研究中心，以科学研究到技术转化为目标，创新技术研发及成果转化体制机制，探索利用市场逻辑、资本力量支持关键核心技术攻关、科技成果转化产业化的新模式，深化政府、高校、企业间的战略协同、平台联动、资源共享，促进创新链、产业链、人才链、资金链有机衔接，全面提升关键核心领域技术攻关能力，加快催生若干变革性技术和战略性产品，抢占引领未来科技和产业发展的战略制高点。</w:t>
      </w:r>
    </w:p>
    <w:p>
      <w:pPr>
        <w:adjustRightInd w:val="0"/>
        <w:snapToGrid w:val="0"/>
        <w:spacing w:line="560" w:lineRule="exact"/>
        <w:ind w:firstLine="640" w:firstLineChars="200"/>
        <w:rPr>
          <w:rFonts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二、定位目标</w:t>
      </w:r>
    </w:p>
    <w:p>
      <w:pPr>
        <w:spacing w:line="560" w:lineRule="exact"/>
        <w:ind w:firstLine="643"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定位：</w:t>
      </w:r>
      <w:r>
        <w:rPr>
          <w:rFonts w:hint="eastAsia" w:ascii="方正仿宋_GBK" w:hAnsi="方正仿宋_GBK" w:eastAsia="方正仿宋_GBK" w:cs="方正仿宋_GBK"/>
          <w:color w:val="000000" w:themeColor="text1"/>
          <w:sz w:val="32"/>
          <w:szCs w:val="32"/>
          <w14:textFill>
            <w14:solidFill>
              <w14:schemeClr w14:val="tx1"/>
            </w14:solidFill>
          </w14:textFill>
        </w:rPr>
        <w:t>安徽省新型产业共性技术研究中心（以下简称“研究中心”）定位于省级科研创新平台，</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是</w:t>
      </w:r>
      <w:r>
        <w:rPr>
          <w:rFonts w:hint="eastAsia" w:ascii="方正仿宋_GBK" w:hAnsi="方正仿宋_GBK" w:eastAsia="方正仿宋_GBK" w:cs="方正仿宋_GBK"/>
          <w:color w:val="000000" w:themeColor="text1"/>
          <w:sz w:val="32"/>
          <w:szCs w:val="32"/>
          <w14:textFill>
            <w14:solidFill>
              <w14:schemeClr w14:val="tx1"/>
            </w14:solidFill>
          </w14:textFill>
        </w:rPr>
        <w:t>依托地方优势特色产业，充分发挥地方政府资源统筹优势、高校科研和人才优势、企业创新与转化优势，精准对接十大新兴产业发展需求，</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围绕支撑一个或若干个十大新兴产业发展、解决一个或若干个产业共性技术难题等开展协同攻关</w:t>
      </w:r>
      <w:r>
        <w:rPr>
          <w:rFonts w:hint="eastAsia" w:ascii="方正仿宋_GBK" w:hAnsi="方正仿宋_GBK" w:eastAsia="方正仿宋_GBK" w:cs="方正仿宋_GBK"/>
          <w:color w:val="000000" w:themeColor="text1"/>
          <w:sz w:val="32"/>
          <w:szCs w:val="32"/>
          <w14:textFill>
            <w14:solidFill>
              <w14:schemeClr w14:val="tx1"/>
            </w14:solidFill>
          </w14:textFill>
        </w:rPr>
        <w:t>、中试熟化、企业技术研发服务、科技成果转化产业化、科技企业孵化和股权投资等活动的新型研发机构。</w:t>
      </w:r>
    </w:p>
    <w:p>
      <w:pPr>
        <w:pStyle w:val="10"/>
        <w:spacing w:after="0" w:line="560" w:lineRule="exact"/>
        <w:ind w:firstLine="640"/>
        <w:rPr>
          <w:rFonts w:ascii="方正仿宋_GBK" w:hAnsi="方正仿宋_GBK" w:eastAsia="方正仿宋_GBK" w:cs="方正仿宋_GBK"/>
          <w:color w:val="000000" w:themeColor="text1"/>
          <w:sz w:val="32"/>
          <w14:textFill>
            <w14:solidFill>
              <w14:schemeClr w14:val="tx1"/>
            </w14:solidFill>
          </w14:textFill>
        </w:rPr>
      </w:pPr>
      <w:r>
        <w:rPr>
          <w:rFonts w:hint="eastAsia" w:ascii="方正楷体_GBK" w:hAnsi="方正楷体_GBK" w:eastAsia="方正楷体_GBK" w:cs="方正楷体_GBK"/>
          <w:b/>
          <w:bCs/>
          <w:color w:val="000000" w:themeColor="text1"/>
          <w:sz w:val="32"/>
          <w14:textFill>
            <w14:solidFill>
              <w14:schemeClr w14:val="tx1"/>
            </w14:solidFill>
          </w14:textFill>
        </w:rPr>
        <w:t>目标：</w:t>
      </w:r>
      <w:r>
        <w:rPr>
          <w:rFonts w:hint="eastAsia" w:ascii="方正仿宋_GBK" w:hAnsi="方正仿宋_GBK" w:eastAsia="方正仿宋_GBK" w:cs="方正仿宋_GBK"/>
          <w:color w:val="000000" w:themeColor="text1"/>
          <w:sz w:val="32"/>
          <w14:textFill>
            <w14:solidFill>
              <w14:schemeClr w14:val="tx1"/>
            </w14:solidFill>
          </w14:textFill>
        </w:rPr>
        <w:t>力争到“十四五”末，全省共建成30个左右研究中心，实现两个“全覆盖”一个“全参与”，即全省十大新兴产业“全覆盖”、地级市“全覆盖”、地方特色高水平大学和应用型高水平大学“全参与”。通过研究中心的建设，</w:t>
      </w:r>
      <w:r>
        <w:rPr>
          <w:rFonts w:ascii="方正仿宋_GBK" w:hAnsi="方正仿宋_GBK" w:eastAsia="方正仿宋_GBK" w:cs="方正仿宋_GBK"/>
          <w:color w:val="000000" w:themeColor="text1"/>
          <w:sz w:val="32"/>
          <w14:textFill>
            <w14:solidFill>
              <w14:schemeClr w14:val="tx1"/>
            </w14:solidFill>
          </w14:textFill>
        </w:rPr>
        <w:t>解决一批制约</w:t>
      </w:r>
      <w:r>
        <w:rPr>
          <w:rFonts w:hint="eastAsia" w:ascii="方正仿宋_GBK" w:hAnsi="方正仿宋_GBK" w:eastAsia="方正仿宋_GBK" w:cs="方正仿宋_GBK"/>
          <w:color w:val="000000" w:themeColor="text1"/>
          <w:sz w:val="32"/>
          <w14:textFill>
            <w14:solidFill>
              <w14:schemeClr w14:val="tx1"/>
            </w14:solidFill>
          </w14:textFill>
        </w:rPr>
        <w:t>产</w:t>
      </w:r>
      <w:r>
        <w:rPr>
          <w:rFonts w:ascii="方正仿宋_GBK" w:hAnsi="方正仿宋_GBK" w:eastAsia="方正仿宋_GBK" w:cs="方正仿宋_GBK"/>
          <w:color w:val="000000" w:themeColor="text1"/>
          <w:sz w:val="32"/>
          <w14:textFill>
            <w14:solidFill>
              <w14:schemeClr w14:val="tx1"/>
            </w14:solidFill>
          </w14:textFill>
        </w:rPr>
        <w:t>业发展的</w:t>
      </w:r>
      <w:r>
        <w:rPr>
          <w:rFonts w:hint="eastAsia" w:ascii="方正仿宋_GBK" w:hAnsi="方正仿宋_GBK" w:eastAsia="方正仿宋_GBK" w:cs="方正仿宋_GBK"/>
          <w:color w:val="000000" w:themeColor="text1"/>
          <w:sz w:val="32"/>
          <w14:textFill>
            <w14:solidFill>
              <w14:schemeClr w14:val="tx1"/>
            </w14:solidFill>
          </w14:textFill>
        </w:rPr>
        <w:t>关键核心</w:t>
      </w:r>
      <w:r>
        <w:rPr>
          <w:rFonts w:ascii="方正仿宋_GBK" w:hAnsi="方正仿宋_GBK" w:eastAsia="方正仿宋_GBK" w:cs="方正仿宋_GBK"/>
          <w:color w:val="000000" w:themeColor="text1"/>
          <w:sz w:val="32"/>
          <w14:textFill>
            <w14:solidFill>
              <w14:schemeClr w14:val="tx1"/>
            </w14:solidFill>
          </w14:textFill>
        </w:rPr>
        <w:t>技术难题</w:t>
      </w:r>
      <w:r>
        <w:rPr>
          <w:rFonts w:hint="eastAsia" w:ascii="方正仿宋_GBK" w:hAnsi="方正仿宋_GBK" w:eastAsia="方正仿宋_GBK" w:cs="方正仿宋_GBK"/>
          <w:color w:val="000000" w:themeColor="text1"/>
          <w:sz w:val="32"/>
          <w14:textFill>
            <w14:solidFill>
              <w14:schemeClr w14:val="tx1"/>
            </w14:solidFill>
          </w14:textFill>
        </w:rPr>
        <w:t>，产出</w:t>
      </w:r>
      <w:r>
        <w:rPr>
          <w:rFonts w:ascii="方正仿宋_GBK" w:hAnsi="方正仿宋_GBK" w:eastAsia="方正仿宋_GBK" w:cs="方正仿宋_GBK"/>
          <w:color w:val="000000" w:themeColor="text1"/>
          <w:sz w:val="32"/>
          <w14:textFill>
            <w14:solidFill>
              <w14:schemeClr w14:val="tx1"/>
            </w14:solidFill>
          </w14:textFill>
        </w:rPr>
        <w:t>一批协同攻关</w:t>
      </w:r>
      <w:r>
        <w:rPr>
          <w:rFonts w:hint="eastAsia" w:ascii="方正仿宋_GBK" w:hAnsi="方正仿宋_GBK" w:eastAsia="方正仿宋_GBK" w:cs="方正仿宋_GBK"/>
          <w:color w:val="000000" w:themeColor="text1"/>
          <w:sz w:val="32"/>
          <w14:textFill>
            <w14:solidFill>
              <w14:schemeClr w14:val="tx1"/>
            </w14:solidFill>
          </w14:textFill>
        </w:rPr>
        <w:t>创新型应用</w:t>
      </w:r>
      <w:r>
        <w:rPr>
          <w:rFonts w:ascii="方正仿宋_GBK" w:hAnsi="方正仿宋_GBK" w:eastAsia="方正仿宋_GBK" w:cs="方正仿宋_GBK"/>
          <w:color w:val="000000" w:themeColor="text1"/>
          <w:sz w:val="32"/>
          <w14:textFill>
            <w14:solidFill>
              <w14:schemeClr w14:val="tx1"/>
            </w14:solidFill>
          </w14:textFill>
        </w:rPr>
        <w:t>成果，</w:t>
      </w:r>
      <w:r>
        <w:rPr>
          <w:rFonts w:hint="eastAsia" w:ascii="方正仿宋_GBK" w:hAnsi="方正仿宋_GBK" w:eastAsia="方正仿宋_GBK" w:cs="方正仿宋_GBK"/>
          <w:color w:val="000000" w:themeColor="text1"/>
          <w:sz w:val="32"/>
          <w14:textFill>
            <w14:solidFill>
              <w14:schemeClr w14:val="tx1"/>
            </w14:solidFill>
          </w14:textFill>
        </w:rPr>
        <w:t>培养集聚一批创新型、复合型、应用型科技领军人才和创新创业人才，发展</w:t>
      </w:r>
      <w:r>
        <w:rPr>
          <w:rFonts w:ascii="方正仿宋_GBK" w:hAnsi="方正仿宋_GBK" w:eastAsia="方正仿宋_GBK" w:cs="方正仿宋_GBK"/>
          <w:color w:val="000000" w:themeColor="text1"/>
          <w:sz w:val="32"/>
          <w14:textFill>
            <w14:solidFill>
              <w14:schemeClr w14:val="tx1"/>
            </w14:solidFill>
          </w14:textFill>
        </w:rPr>
        <w:t>壮大一批具有核心竞争力的科技领军企业，</w:t>
      </w:r>
      <w:r>
        <w:rPr>
          <w:rFonts w:hint="eastAsia" w:ascii="方正仿宋_GBK" w:hAnsi="方正仿宋_GBK" w:eastAsia="方正仿宋_GBK" w:cs="方正仿宋_GBK"/>
          <w:color w:val="000000" w:themeColor="text1"/>
          <w:sz w:val="32"/>
          <w14:textFill>
            <w14:solidFill>
              <w14:schemeClr w14:val="tx1"/>
            </w14:solidFill>
          </w14:textFill>
        </w:rPr>
        <w:t>建立健全产业关键共性技术与“卡脖子”难题攻关与产业化市场有效衔接的运行机制，形成科技创新成果与地方产业精准对接、科教资源向现实生产力高效转化的高质量发展新态势。“研”出新动能，“产”出新活力，</w:t>
      </w:r>
      <w:r>
        <w:rPr>
          <w:rFonts w:ascii="方正仿宋_GBK" w:hAnsi="方正仿宋_GBK" w:eastAsia="方正仿宋_GBK" w:cs="方正仿宋_GBK"/>
          <w:color w:val="000000" w:themeColor="text1"/>
          <w:sz w:val="32"/>
          <w14:textFill>
            <w14:solidFill>
              <w14:schemeClr w14:val="tx1"/>
            </w14:solidFill>
          </w14:textFill>
        </w:rPr>
        <w:t>为</w:t>
      </w:r>
      <w:r>
        <w:rPr>
          <w:rFonts w:hint="eastAsia" w:ascii="方正仿宋_GBK" w:hAnsi="方正仿宋_GBK" w:eastAsia="方正仿宋_GBK" w:cs="方正仿宋_GBK"/>
          <w:color w:val="000000" w:themeColor="text1"/>
          <w:sz w:val="32"/>
          <w14:textFill>
            <w14:solidFill>
              <w14:schemeClr w14:val="tx1"/>
            </w14:solidFill>
          </w14:textFill>
        </w:rPr>
        <w:t>加快建设经济强、格局新、环境优、活力足、百姓富的现代化美好安徽</w:t>
      </w:r>
      <w:r>
        <w:rPr>
          <w:rFonts w:ascii="方正仿宋_GBK" w:hAnsi="方正仿宋_GBK" w:eastAsia="方正仿宋_GBK" w:cs="方正仿宋_GBK"/>
          <w:color w:val="000000" w:themeColor="text1"/>
          <w:sz w:val="32"/>
          <w14:textFill>
            <w14:solidFill>
              <w14:schemeClr w14:val="tx1"/>
            </w14:solidFill>
          </w14:textFill>
        </w:rPr>
        <w:t>提供</w:t>
      </w:r>
      <w:r>
        <w:rPr>
          <w:rFonts w:hint="eastAsia" w:ascii="方正仿宋_GBK" w:hAnsi="方正仿宋_GBK" w:eastAsia="方正仿宋_GBK" w:cs="方正仿宋_GBK"/>
          <w:color w:val="000000" w:themeColor="text1"/>
          <w:sz w:val="32"/>
          <w14:textFill>
            <w14:solidFill>
              <w14:schemeClr w14:val="tx1"/>
            </w14:solidFill>
          </w14:textFill>
        </w:rPr>
        <w:t>强有力支撑</w:t>
      </w:r>
      <w:r>
        <w:rPr>
          <w:rFonts w:ascii="方正仿宋_GBK" w:hAnsi="方正仿宋_GBK" w:eastAsia="方正仿宋_GBK" w:cs="方正仿宋_GBK"/>
          <w:color w:val="000000" w:themeColor="text1"/>
          <w:sz w:val="32"/>
          <w14:textFill>
            <w14:solidFill>
              <w14:schemeClr w14:val="tx1"/>
            </w14:solidFill>
          </w14:textFill>
        </w:rPr>
        <w:t>。</w:t>
      </w:r>
    </w:p>
    <w:p>
      <w:pPr>
        <w:adjustRightInd w:val="0"/>
        <w:snapToGrid w:val="0"/>
        <w:spacing w:line="560" w:lineRule="exact"/>
        <w:ind w:firstLine="640" w:firstLineChars="200"/>
        <w:rPr>
          <w:rFonts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三、基本原则</w:t>
      </w:r>
    </w:p>
    <w:p>
      <w:pPr>
        <w:widowControl/>
        <w:tabs>
          <w:tab w:val="left" w:pos="500"/>
        </w:tabs>
        <w:spacing w:line="560" w:lineRule="exact"/>
        <w:ind w:firstLine="643" w:firstLineChars="200"/>
        <w:rPr>
          <w:rFonts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坚持需求导向。</w:t>
      </w:r>
      <w:r>
        <w:rPr>
          <w:rFonts w:hint="eastAsia" w:ascii="方正仿宋_GBK" w:hAnsi="方正仿宋_GBK" w:eastAsia="方正仿宋_GBK" w:cs="方正仿宋_GBK"/>
          <w:color w:val="000000" w:themeColor="text1"/>
          <w:kern w:val="0"/>
          <w:sz w:val="32"/>
          <w:szCs w:val="32"/>
          <w14:textFill>
            <w14:solidFill>
              <w14:schemeClr w14:val="tx1"/>
            </w14:solidFill>
          </w14:textFill>
        </w:rPr>
        <w:t>研究中心建设方向坚持来源于十大新兴产业实际需求，有助于推动加快解决制约新兴产业发展中的共性、重大、关键核心技术难题，着力解决科技成果转化“最后一公里”问题，统筹经济社会发展当前迫切需要和长远利益，让科技创新成果能源源不断涌现并产业化。</w:t>
      </w:r>
    </w:p>
    <w:p>
      <w:pPr>
        <w:pStyle w:val="8"/>
        <w:widowControl/>
        <w:spacing w:beforeAutospacing="0" w:afterAutospacing="0" w:line="560" w:lineRule="exact"/>
        <w:ind w:firstLine="645"/>
        <w:jc w:val="both"/>
        <w:rPr>
          <w:rFonts w:ascii="方正楷体_GBK" w:hAnsi="方正楷体_GBK" w:eastAsia="方正楷体_GBK" w:cs="方正楷体_GBK"/>
          <w:b/>
          <w:bCs/>
          <w:color w:val="000000" w:themeColor="text1"/>
          <w:kern w:val="2"/>
          <w:sz w:val="32"/>
          <w:szCs w:val="32"/>
          <w14:textFill>
            <w14:solidFill>
              <w14:schemeClr w14:val="tx1"/>
            </w14:solidFill>
          </w14:textFill>
        </w:rPr>
      </w:pPr>
      <w:r>
        <w:rPr>
          <w:rFonts w:hint="eastAsia" w:ascii="方正楷体_GBK" w:hAnsi="方正楷体_GBK" w:eastAsia="方正楷体_GBK" w:cs="方正楷体_GBK"/>
          <w:b/>
          <w:bCs/>
          <w:color w:val="000000" w:themeColor="text1"/>
          <w:kern w:val="2"/>
          <w:sz w:val="32"/>
          <w:szCs w:val="32"/>
          <w14:textFill>
            <w14:solidFill>
              <w14:schemeClr w14:val="tx1"/>
            </w14:solidFill>
          </w14:textFill>
        </w:rPr>
        <w:t>引领产业升级。</w:t>
      </w:r>
      <w:r>
        <w:rPr>
          <w:rFonts w:hint="eastAsia" w:ascii="方正仿宋_GBK" w:hAnsi="方正仿宋_GBK" w:eastAsia="方正仿宋_GBK" w:cs="方正仿宋_GBK"/>
          <w:color w:val="000000" w:themeColor="text1"/>
          <w:kern w:val="2"/>
          <w:sz w:val="32"/>
          <w:szCs w:val="32"/>
          <w14:textFill>
            <w14:solidFill>
              <w14:schemeClr w14:val="tx1"/>
            </w14:solidFill>
          </w14:textFill>
        </w:rPr>
        <w:t>结合我省十大新兴产业发展格局，紧盯产业共性与关键核心技术攻关，围绕龙头企业打造完善新兴产业生态。构建“政产学研用金”六位一体的科技成果转化机制，加快将创新优势转化为产业优势，带动产业链强链、补链、延链，加快发展新产业、新业态。</w:t>
      </w:r>
    </w:p>
    <w:p>
      <w:pPr>
        <w:pStyle w:val="8"/>
        <w:widowControl/>
        <w:spacing w:beforeAutospacing="0" w:afterAutospacing="0" w:line="560" w:lineRule="exact"/>
        <w:ind w:firstLine="645"/>
        <w:jc w:val="both"/>
        <w:rPr>
          <w:rFonts w:ascii="方正仿宋_GBK" w:hAnsi="方正仿宋_GBK" w:eastAsia="方正仿宋_GBK" w:cs="方正仿宋_GBK"/>
          <w:color w:val="000000" w:themeColor="text1"/>
          <w:kern w:val="2"/>
          <w:sz w:val="32"/>
          <w:szCs w:val="32"/>
          <w14:textFill>
            <w14:solidFill>
              <w14:schemeClr w14:val="tx1"/>
            </w14:solidFill>
          </w14:textFill>
        </w:rPr>
      </w:pPr>
      <w:r>
        <w:rPr>
          <w:rFonts w:hint="eastAsia" w:ascii="方正楷体_GBK" w:hAnsi="方正楷体_GBK" w:eastAsia="方正楷体_GBK" w:cs="方正楷体_GBK"/>
          <w:b/>
          <w:bCs/>
          <w:color w:val="000000" w:themeColor="text1"/>
          <w:kern w:val="2"/>
          <w:sz w:val="32"/>
          <w:szCs w:val="32"/>
          <w14:textFill>
            <w14:solidFill>
              <w14:schemeClr w14:val="tx1"/>
            </w14:solidFill>
          </w14:textFill>
        </w:rPr>
        <w:t>创新体制机制。</w:t>
      </w:r>
      <w:r>
        <w:rPr>
          <w:rFonts w:hint="eastAsia" w:ascii="方正仿宋_GBK" w:hAnsi="方正仿宋_GBK" w:eastAsia="方正仿宋_GBK" w:cs="方正仿宋_GBK"/>
          <w:color w:val="000000" w:themeColor="text1"/>
          <w:kern w:val="2"/>
          <w:sz w:val="32"/>
          <w:szCs w:val="32"/>
          <w14:textFill>
            <w14:solidFill>
              <w14:schemeClr w14:val="tx1"/>
            </w14:solidFill>
          </w14:textFill>
        </w:rPr>
        <w:t>坚持“一中心一政策”，大胆探索、先行先试，赋予研究中心充分的自主权，全面构建市场导向的管理机制、灵活包容的人才机制、开放创新的合作机制，建立多元化股权收益激励机制及成果导向的绩效评价机制和分配机制，最大限度激发和释放创新创造活力。完善人才评价、激励、流动机制，努力打造一批科技领军人才和高水平创新团队。</w:t>
      </w:r>
    </w:p>
    <w:p>
      <w:pPr>
        <w:pStyle w:val="8"/>
        <w:widowControl/>
        <w:spacing w:beforeAutospacing="0" w:afterAutospacing="0" w:line="560" w:lineRule="exact"/>
        <w:ind w:firstLine="645"/>
        <w:jc w:val="both"/>
        <w:rPr>
          <w:rFonts w:ascii="方正仿宋_GBK" w:hAnsi="方正仿宋_GBK" w:eastAsia="方正仿宋_GBK" w:cs="方正仿宋_GBK"/>
          <w:color w:val="000000" w:themeColor="text1"/>
          <w:kern w:val="2"/>
          <w:sz w:val="32"/>
          <w:szCs w:val="32"/>
          <w14:textFill>
            <w14:solidFill>
              <w14:schemeClr w14:val="tx1"/>
            </w14:solidFill>
          </w14:textFill>
        </w:rPr>
      </w:pPr>
      <w:r>
        <w:rPr>
          <w:rFonts w:hint="eastAsia" w:ascii="方正楷体_GBK" w:hAnsi="方正楷体_GBK" w:eastAsia="方正楷体_GBK" w:cs="方正楷体_GBK"/>
          <w:b/>
          <w:bCs/>
          <w:color w:val="000000" w:themeColor="text1"/>
          <w:kern w:val="2"/>
          <w:sz w:val="32"/>
          <w:szCs w:val="32"/>
          <w14:textFill>
            <w14:solidFill>
              <w14:schemeClr w14:val="tx1"/>
            </w14:solidFill>
          </w14:textFill>
        </w:rPr>
        <w:t>凝聚创新合力。</w:t>
      </w:r>
      <w:r>
        <w:rPr>
          <w:rFonts w:hint="eastAsia" w:ascii="方正仿宋_GBK" w:hAnsi="方正仿宋_GBK" w:eastAsia="方正仿宋_GBK" w:cs="方正仿宋_GBK"/>
          <w:color w:val="000000" w:themeColor="text1"/>
          <w:kern w:val="2"/>
          <w:sz w:val="32"/>
          <w:szCs w:val="32"/>
          <w14:textFill>
            <w14:solidFill>
              <w14:schemeClr w14:val="tx1"/>
            </w14:solidFill>
          </w14:textFill>
        </w:rPr>
        <w:t>充分发挥高校及科研院所创新资源优势，鼓励地级市政府安排资金、基础设施、仪器设备等优惠政策扶持辖区内研究中心建设发展，全方位培养、引进、用好人才，加快形成一支规模宏大、富有创新精神、敢于承担风险的创新型人才队伍，因地制宜、凝心聚力，为研究中心发展创造条件。</w:t>
      </w:r>
    </w:p>
    <w:p>
      <w:pPr>
        <w:adjustRightInd w:val="0"/>
        <w:snapToGrid w:val="0"/>
        <w:spacing w:line="560" w:lineRule="exact"/>
        <w:ind w:firstLine="640" w:firstLineChars="200"/>
        <w:rPr>
          <w:rFonts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四、重点任务</w:t>
      </w:r>
    </w:p>
    <w:p>
      <w:pPr>
        <w:pStyle w:val="10"/>
        <w:spacing w:after="0" w:line="560" w:lineRule="exact"/>
        <w:ind w:firstLine="640"/>
        <w:rPr>
          <w:rFonts w:ascii="方正仿宋_GBK" w:hAnsi="方正仿宋_GBK" w:eastAsia="方正仿宋_GBK" w:cs="方正仿宋_GBK"/>
          <w:color w:val="000000" w:themeColor="text1"/>
          <w:sz w:val="32"/>
          <w14:textFill>
            <w14:solidFill>
              <w14:schemeClr w14:val="tx1"/>
            </w14:solidFill>
          </w14:textFill>
        </w:rPr>
      </w:pPr>
      <w:r>
        <w:rPr>
          <w:rFonts w:hint="eastAsia" w:ascii="方正仿宋_GBK" w:hAnsi="方正仿宋_GBK" w:eastAsia="方正仿宋_GBK" w:cs="方正仿宋_GBK"/>
          <w:color w:val="000000" w:themeColor="text1"/>
          <w:sz w:val="32"/>
          <w14:textFill>
            <w14:solidFill>
              <w14:schemeClr w14:val="tx1"/>
            </w14:solidFill>
          </w14:textFill>
        </w:rPr>
        <w:t>根据《中共安徽省委 安徽省人民政府关于大力发展十大新兴产业打造具有重要影响力新兴产业聚集地的意见》，围绕安徽产业发展战略部署和十大新兴产业发展需求，布局建设30个左右研究中心，分布在16个地级市，优先支持皖北地区。合理把握研究中心建设的时序、节奏、步骤。首批遴选认定10个左右研究中心进行试点建设，及时总结推广典型经验和有效做法，稳步有序推动其它研究中心建设，形成以研究中心为载体的新型产业共性技术攻关有效路径。</w:t>
      </w:r>
    </w:p>
    <w:p>
      <w:pPr>
        <w:pStyle w:val="10"/>
        <w:spacing w:after="0" w:line="560" w:lineRule="exact"/>
        <w:ind w:firstLine="640"/>
        <w:rPr>
          <w:rFonts w:ascii="方正仿宋_GBK" w:hAnsi="方正仿宋_GBK" w:eastAsia="方正仿宋_GBK" w:cs="方正仿宋_GBK"/>
          <w:color w:val="000000" w:themeColor="text1"/>
          <w:sz w:val="32"/>
          <w14:textFill>
            <w14:solidFill>
              <w14:schemeClr w14:val="tx1"/>
            </w14:solidFill>
          </w14:textFill>
        </w:rPr>
      </w:pPr>
      <w:r>
        <w:rPr>
          <w:rFonts w:hint="eastAsia" w:ascii="方正仿宋_GBK" w:hAnsi="方正仿宋_GBK" w:eastAsia="方正仿宋_GBK" w:cs="方正仿宋_GBK"/>
          <w:color w:val="000000" w:themeColor="text1"/>
          <w:sz w:val="32"/>
          <w14:textFill>
            <w14:solidFill>
              <w14:schemeClr w14:val="tx1"/>
            </w14:solidFill>
          </w14:textFill>
        </w:rPr>
        <w:t>支持合肥、蚌埠、淮南、滁州、六安、马鞍山、芜湖、宣城、铜陵、池州等地重点围绕新一代信息技术产业；合肥、蚌埠、芜湖等地重点围绕人工智能产业；淮北、蚌埠、铜陵、安庆等地重点围绕新材料产业；合肥、淮北、宿州、蚌埠、阜阳、淮南、六安、芜湖、宣城、铜陵、池州等地重点围绕新能源和节能环保产业；合肥、芜湖、宣城、安庆等地重点围绕新能源汽车和智能网联汽车产业；合肥、蚌埠、淮南、滁州、六安、马鞍山、芜湖、宣城、池州、安庆等地重点围绕高端装备制造产业；合肥、蚌埠、滁州、六安、马鞍山、芜湖、宣城等地重点围绕智能家电产业；合肥、亳州、蚌埠、阜阳、六安、宣城、池州、安庆、黄山重点围绕生命健康产业；合肥、淮北、亳州、宿州、阜阳、安庆重点围绕绿色食品产业；合肥、芜湖、黄山等地重点围绕数字创意产业。</w:t>
      </w:r>
    </w:p>
    <w:tbl>
      <w:tblPr>
        <w:tblStyle w:val="12"/>
        <w:tblW w:w="80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3" w:hRule="atLeast"/>
          <w:jc w:val="center"/>
        </w:trPr>
        <w:tc>
          <w:tcPr>
            <w:tcW w:w="8040" w:type="dxa"/>
          </w:tcPr>
          <w:p>
            <w:pPr>
              <w:spacing w:line="560" w:lineRule="exact"/>
              <w:contextualSpacing/>
              <w:jc w:val="center"/>
              <w:rPr>
                <w:rFonts w:ascii="方正楷体_GBK" w:hAnsi="方正楷体_GBK" w:eastAsia="方正楷体_GBK" w:cs="方正楷体_GBK"/>
                <w:b/>
                <w:color w:val="000000" w:themeColor="text1"/>
                <w:kern w:val="0"/>
                <w:sz w:val="28"/>
                <w:szCs w:val="28"/>
                <w14:textFill>
                  <w14:solidFill>
                    <w14:schemeClr w14:val="tx1"/>
                  </w14:solidFill>
                </w14:textFill>
              </w:rPr>
            </w:pPr>
            <w:bookmarkStart w:id="0" w:name="_Hlk84332149"/>
            <w:r>
              <w:rPr>
                <w:rFonts w:hint="eastAsia" w:ascii="方正楷体_GBK" w:hAnsi="方正楷体_GBK" w:eastAsia="方正楷体_GBK" w:cs="方正楷体_GBK"/>
                <w:b/>
                <w:color w:val="000000" w:themeColor="text1"/>
                <w:kern w:val="0"/>
                <w:sz w:val="28"/>
                <w:szCs w:val="28"/>
                <w14:textFill>
                  <w14:solidFill>
                    <w14:schemeClr w14:val="tx1"/>
                  </w14:solidFill>
                </w14:textFill>
              </w:rPr>
              <w:t>分产业规划建设</w:t>
            </w:r>
            <w:r>
              <w:rPr>
                <w:rFonts w:hint="eastAsia" w:ascii="方正楷体_GBK" w:hAnsi="方正楷体_GBK" w:eastAsia="方正楷体_GBK" w:cs="方正楷体_GBK"/>
                <w:b/>
                <w:color w:val="000000" w:themeColor="text1"/>
                <w:kern w:val="0"/>
                <w:sz w:val="28"/>
                <w:szCs w:val="28"/>
                <w:lang w:eastAsia="zh-CN"/>
                <w14:textFill>
                  <w14:solidFill>
                    <w14:schemeClr w14:val="tx1"/>
                  </w14:solidFill>
                </w14:textFill>
              </w:rPr>
              <w:t>初步</w:t>
            </w:r>
            <w:r>
              <w:rPr>
                <w:rFonts w:hint="eastAsia" w:ascii="方正楷体_GBK" w:hAnsi="方正楷体_GBK" w:eastAsia="方正楷体_GBK" w:cs="方正楷体_GBK"/>
                <w:b/>
                <w:color w:val="000000" w:themeColor="text1"/>
                <w:kern w:val="0"/>
                <w:sz w:val="28"/>
                <w:szCs w:val="28"/>
                <w14:textFill>
                  <w14:solidFill>
                    <w14:schemeClr w14:val="tx1"/>
                  </w14:solidFill>
                </w14:textFill>
              </w:rPr>
              <w:t>建议方案</w:t>
            </w:r>
          </w:p>
          <w:p>
            <w:pPr>
              <w:pStyle w:val="10"/>
              <w:spacing w:after="0" w:line="560" w:lineRule="exact"/>
              <w:ind w:firstLine="0" w:firstLineChars="0"/>
              <w:rPr>
                <w:rFonts w:ascii="方正楷体_GBK" w:hAnsi="方正楷体_GBK" w:eastAsia="方正楷体_GBK" w:cs="方正楷体_GBK"/>
                <w:b/>
                <w:bCs/>
                <w:color w:val="000000" w:themeColor="text1"/>
                <w:szCs w:val="28"/>
                <w14:textFill>
                  <w14:solidFill>
                    <w14:schemeClr w14:val="tx1"/>
                  </w14:solidFill>
                </w14:textFill>
              </w:rPr>
            </w:pPr>
            <w:r>
              <w:rPr>
                <w:rFonts w:hint="eastAsia" w:ascii="方正楷体_GBK" w:hAnsi="方正楷体_GBK" w:eastAsia="方正楷体_GBK" w:cs="方正楷体_GBK"/>
                <w:b/>
                <w:bCs/>
                <w:color w:val="000000" w:themeColor="text1"/>
                <w:szCs w:val="28"/>
                <w14:textFill>
                  <w14:solidFill>
                    <w14:schemeClr w14:val="tx1"/>
                  </w14:solidFill>
                </w14:textFill>
              </w:rPr>
              <w:t>（一）新一代信息技术</w:t>
            </w:r>
          </w:p>
          <w:p>
            <w:pPr>
              <w:pStyle w:val="10"/>
              <w:spacing w:after="0" w:line="560" w:lineRule="exact"/>
              <w:ind w:firstLine="0" w:firstLineChars="0"/>
              <w:rPr>
                <w:rFonts w:ascii="方正仿宋_GBK" w:hAnsi="方正仿宋_GBK" w:eastAsia="方正仿宋_GBK" w:cs="方正仿宋_GBK"/>
                <w:color w:val="000000" w:themeColor="text1"/>
                <w:szCs w:val="28"/>
                <w14:textFill>
                  <w14:solidFill>
                    <w14:schemeClr w14:val="tx1"/>
                  </w14:solidFill>
                </w14:textFill>
              </w:rPr>
            </w:pPr>
            <w:r>
              <w:rPr>
                <w:rFonts w:hint="eastAsia" w:ascii="方正仿宋_GBK" w:hAnsi="方正仿宋_GBK" w:eastAsia="方正仿宋_GBK" w:cs="方正仿宋_GBK"/>
                <w:color w:val="000000" w:themeColor="text1"/>
                <w:szCs w:val="28"/>
                <w14:textFill>
                  <w14:solidFill>
                    <w14:schemeClr w14:val="tx1"/>
                  </w14:solidFill>
                </w14:textFill>
              </w:rPr>
              <w:t>1.集成电路产业共性技术研究中心</w:t>
            </w:r>
          </w:p>
          <w:p>
            <w:pPr>
              <w:pStyle w:val="10"/>
              <w:spacing w:after="0" w:line="560" w:lineRule="exact"/>
              <w:ind w:firstLine="0" w:firstLineChars="0"/>
              <w:rPr>
                <w:rFonts w:ascii="方正仿宋_GBK" w:hAnsi="方正仿宋_GBK" w:eastAsia="方正仿宋_GBK" w:cs="方正仿宋_GBK"/>
                <w:color w:val="000000" w:themeColor="text1"/>
                <w:szCs w:val="28"/>
                <w14:textFill>
                  <w14:solidFill>
                    <w14:schemeClr w14:val="tx1"/>
                  </w14:solidFill>
                </w14:textFill>
              </w:rPr>
            </w:pPr>
            <w:r>
              <w:rPr>
                <w:rFonts w:hint="eastAsia" w:ascii="方正仿宋_GBK" w:hAnsi="方正仿宋_GBK" w:eastAsia="方正仿宋_GBK" w:cs="方正仿宋_GBK"/>
                <w:color w:val="000000" w:themeColor="text1"/>
                <w:szCs w:val="28"/>
                <w14:textFill>
                  <w14:solidFill>
                    <w14:schemeClr w14:val="tx1"/>
                  </w14:solidFill>
                </w14:textFill>
              </w:rPr>
              <w:t>2.新型显示产业共性技术研究中心</w:t>
            </w:r>
          </w:p>
          <w:p>
            <w:pPr>
              <w:pStyle w:val="10"/>
              <w:spacing w:after="0" w:line="560" w:lineRule="exact"/>
              <w:ind w:firstLine="0" w:firstLineChars="0"/>
              <w:rPr>
                <w:rFonts w:ascii="方正仿宋_GBK" w:hAnsi="方正仿宋_GBK" w:eastAsia="方正仿宋_GBK" w:cs="方正仿宋_GBK"/>
                <w:color w:val="000000" w:themeColor="text1"/>
                <w:szCs w:val="28"/>
                <w14:textFill>
                  <w14:solidFill>
                    <w14:schemeClr w14:val="tx1"/>
                  </w14:solidFill>
                </w14:textFill>
              </w:rPr>
            </w:pPr>
            <w:r>
              <w:rPr>
                <w:rFonts w:hint="eastAsia" w:ascii="方正仿宋_GBK" w:hAnsi="方正仿宋_GBK" w:eastAsia="方正仿宋_GBK" w:cs="方正仿宋_GBK"/>
                <w:color w:val="000000" w:themeColor="text1"/>
                <w:szCs w:val="28"/>
                <w14:textFill>
                  <w14:solidFill>
                    <w14:schemeClr w14:val="tx1"/>
                  </w14:solidFill>
                </w14:textFill>
              </w:rPr>
              <w:t>3.半导体产业共性技术研究中心</w:t>
            </w:r>
          </w:p>
          <w:p>
            <w:pPr>
              <w:pStyle w:val="10"/>
              <w:spacing w:after="0" w:line="560" w:lineRule="exact"/>
              <w:ind w:firstLine="0" w:firstLineChars="0"/>
              <w:rPr>
                <w:rFonts w:ascii="方正楷体_GBK" w:hAnsi="方正楷体_GBK" w:eastAsia="方正楷体_GBK" w:cs="方正楷体_GBK"/>
                <w:b/>
                <w:bCs/>
                <w:color w:val="000000" w:themeColor="text1"/>
                <w:szCs w:val="28"/>
                <w14:textFill>
                  <w14:solidFill>
                    <w14:schemeClr w14:val="tx1"/>
                  </w14:solidFill>
                </w14:textFill>
              </w:rPr>
            </w:pPr>
            <w:r>
              <w:rPr>
                <w:rFonts w:hint="eastAsia" w:ascii="方正楷体_GBK" w:hAnsi="方正楷体_GBK" w:eastAsia="方正楷体_GBK" w:cs="方正楷体_GBK"/>
                <w:b/>
                <w:bCs/>
                <w:color w:val="000000" w:themeColor="text1"/>
                <w:szCs w:val="28"/>
                <w14:textFill>
                  <w14:solidFill>
                    <w14:schemeClr w14:val="tx1"/>
                  </w14:solidFill>
                </w14:textFill>
              </w:rPr>
              <w:t>（二）人工智能</w:t>
            </w:r>
          </w:p>
          <w:p>
            <w:pPr>
              <w:pStyle w:val="10"/>
              <w:spacing w:after="0" w:line="560" w:lineRule="exact"/>
              <w:ind w:firstLine="0" w:firstLineChars="0"/>
              <w:rPr>
                <w:rFonts w:ascii="方正仿宋_GBK" w:hAnsi="方正仿宋_GBK" w:eastAsia="方正仿宋_GBK" w:cs="方正仿宋_GBK"/>
                <w:color w:val="000000" w:themeColor="text1"/>
                <w:szCs w:val="28"/>
                <w14:textFill>
                  <w14:solidFill>
                    <w14:schemeClr w14:val="tx1"/>
                  </w14:solidFill>
                </w14:textFill>
              </w:rPr>
            </w:pPr>
            <w:r>
              <w:rPr>
                <w:rFonts w:hint="eastAsia" w:ascii="方正仿宋_GBK" w:hAnsi="方正仿宋_GBK" w:eastAsia="方正仿宋_GBK" w:cs="方正仿宋_GBK"/>
                <w:color w:val="000000" w:themeColor="text1"/>
                <w:szCs w:val="28"/>
                <w14:textFill>
                  <w14:solidFill>
                    <w14:schemeClr w14:val="tx1"/>
                  </w14:solidFill>
                </w14:textFill>
              </w:rPr>
              <w:t>1.智能语音产业共性技术研究中心</w:t>
            </w:r>
          </w:p>
          <w:p>
            <w:pPr>
              <w:pStyle w:val="10"/>
              <w:spacing w:after="0" w:line="560" w:lineRule="exact"/>
              <w:ind w:firstLine="0" w:firstLineChars="0"/>
              <w:rPr>
                <w:rFonts w:ascii="方正仿宋_GBK" w:hAnsi="方正仿宋_GBK" w:eastAsia="方正仿宋_GBK" w:cs="方正仿宋_GBK"/>
                <w:color w:val="000000" w:themeColor="text1"/>
                <w:szCs w:val="28"/>
                <w14:textFill>
                  <w14:solidFill>
                    <w14:schemeClr w14:val="tx1"/>
                  </w14:solidFill>
                </w14:textFill>
              </w:rPr>
            </w:pPr>
            <w:r>
              <w:rPr>
                <w:rFonts w:hint="eastAsia" w:ascii="方正仿宋_GBK" w:hAnsi="方正仿宋_GBK" w:eastAsia="方正仿宋_GBK" w:cs="方正仿宋_GBK"/>
                <w:color w:val="000000" w:themeColor="text1"/>
                <w:szCs w:val="28"/>
                <w14:textFill>
                  <w14:solidFill>
                    <w14:schemeClr w14:val="tx1"/>
                  </w14:solidFill>
                </w14:textFill>
              </w:rPr>
              <w:t>2.机器人产业共性技术研究中心</w:t>
            </w:r>
          </w:p>
          <w:p>
            <w:pPr>
              <w:pStyle w:val="10"/>
              <w:spacing w:after="0" w:line="560" w:lineRule="exact"/>
              <w:ind w:firstLine="0" w:firstLineChars="0"/>
              <w:rPr>
                <w:rFonts w:ascii="方正仿宋_GBK" w:hAnsi="方正仿宋_GBK" w:eastAsia="方正仿宋_GBK" w:cs="方正仿宋_GBK"/>
                <w:color w:val="000000" w:themeColor="text1"/>
                <w:szCs w:val="28"/>
                <w14:textFill>
                  <w14:solidFill>
                    <w14:schemeClr w14:val="tx1"/>
                  </w14:solidFill>
                </w14:textFill>
              </w:rPr>
            </w:pPr>
            <w:r>
              <w:rPr>
                <w:rFonts w:hint="eastAsia" w:ascii="方正仿宋_GBK" w:hAnsi="方正仿宋_GBK" w:eastAsia="方正仿宋_GBK" w:cs="方正仿宋_GBK"/>
                <w:color w:val="000000" w:themeColor="text1"/>
                <w:szCs w:val="28"/>
                <w14:textFill>
                  <w14:solidFill>
                    <w14:schemeClr w14:val="tx1"/>
                  </w14:solidFill>
                </w14:textFill>
              </w:rPr>
              <w:t>3.传感器产业共性技术研究中心</w:t>
            </w:r>
          </w:p>
          <w:p>
            <w:pPr>
              <w:pStyle w:val="10"/>
              <w:spacing w:after="0" w:line="560" w:lineRule="exact"/>
              <w:ind w:firstLine="0" w:firstLineChars="0"/>
              <w:rPr>
                <w:rFonts w:ascii="方正楷体_GBK" w:hAnsi="方正楷体_GBK" w:eastAsia="方正楷体_GBK" w:cs="方正楷体_GBK"/>
                <w:b/>
                <w:bCs/>
                <w:color w:val="000000" w:themeColor="text1"/>
                <w:szCs w:val="28"/>
                <w14:textFill>
                  <w14:solidFill>
                    <w14:schemeClr w14:val="tx1"/>
                  </w14:solidFill>
                </w14:textFill>
              </w:rPr>
            </w:pPr>
            <w:r>
              <w:rPr>
                <w:rFonts w:hint="eastAsia" w:ascii="方正楷体_GBK" w:hAnsi="方正楷体_GBK" w:eastAsia="方正楷体_GBK" w:cs="方正楷体_GBK"/>
                <w:b/>
                <w:bCs/>
                <w:color w:val="000000" w:themeColor="text1"/>
                <w:szCs w:val="28"/>
                <w14:textFill>
                  <w14:solidFill>
                    <w14:schemeClr w14:val="tx1"/>
                  </w14:solidFill>
                </w14:textFill>
              </w:rPr>
              <w:t>（三）新材料</w:t>
            </w:r>
          </w:p>
          <w:p>
            <w:pPr>
              <w:pStyle w:val="10"/>
              <w:spacing w:after="0" w:line="560" w:lineRule="exact"/>
              <w:ind w:firstLine="0" w:firstLineChars="0"/>
              <w:rPr>
                <w:rFonts w:ascii="方正仿宋_GBK" w:hAnsi="方正仿宋_GBK" w:eastAsia="方正仿宋_GBK" w:cs="方正仿宋_GBK"/>
                <w:color w:val="000000" w:themeColor="text1"/>
                <w:szCs w:val="28"/>
                <w14:textFill>
                  <w14:solidFill>
                    <w14:schemeClr w14:val="tx1"/>
                  </w14:solidFill>
                </w14:textFill>
              </w:rPr>
            </w:pPr>
            <w:r>
              <w:rPr>
                <w:rFonts w:hint="eastAsia" w:ascii="方正仿宋_GBK" w:hAnsi="方正仿宋_GBK" w:eastAsia="方正仿宋_GBK" w:cs="方正仿宋_GBK"/>
                <w:color w:val="000000" w:themeColor="text1"/>
                <w:szCs w:val="28"/>
                <w14:textFill>
                  <w14:solidFill>
                    <w14:schemeClr w14:val="tx1"/>
                  </w14:solidFill>
                </w14:textFill>
              </w:rPr>
              <w:t>1.陶铝新材料产业共性技术研究中心</w:t>
            </w:r>
          </w:p>
          <w:p>
            <w:pPr>
              <w:pStyle w:val="10"/>
              <w:spacing w:after="0" w:line="560" w:lineRule="exact"/>
              <w:ind w:firstLine="0" w:firstLineChars="0"/>
              <w:rPr>
                <w:rFonts w:ascii="方正仿宋_GBK" w:hAnsi="方正仿宋_GBK" w:eastAsia="方正仿宋_GBK" w:cs="方正仿宋_GBK"/>
                <w:color w:val="000000" w:themeColor="text1"/>
                <w:szCs w:val="28"/>
                <w14:textFill>
                  <w14:solidFill>
                    <w14:schemeClr w14:val="tx1"/>
                  </w14:solidFill>
                </w14:textFill>
              </w:rPr>
            </w:pPr>
            <w:r>
              <w:rPr>
                <w:rFonts w:hint="eastAsia" w:ascii="方正仿宋_GBK" w:hAnsi="方正仿宋_GBK" w:eastAsia="方正仿宋_GBK" w:cs="方正仿宋_GBK"/>
                <w:color w:val="000000" w:themeColor="text1"/>
                <w:szCs w:val="28"/>
                <w14:textFill>
                  <w14:solidFill>
                    <w14:schemeClr w14:val="tx1"/>
                  </w14:solidFill>
                </w14:textFill>
              </w:rPr>
              <w:t>2.硅基新材料产业共性技术研究中心</w:t>
            </w:r>
          </w:p>
          <w:p>
            <w:pPr>
              <w:pStyle w:val="10"/>
              <w:spacing w:after="0" w:line="560" w:lineRule="exact"/>
              <w:ind w:firstLine="0" w:firstLineChars="0"/>
              <w:rPr>
                <w:rFonts w:ascii="方正仿宋_GBK" w:hAnsi="方正仿宋_GBK" w:eastAsia="方正仿宋_GBK" w:cs="方正仿宋_GBK"/>
                <w:color w:val="000000" w:themeColor="text1"/>
                <w:szCs w:val="28"/>
                <w14:textFill>
                  <w14:solidFill>
                    <w14:schemeClr w14:val="tx1"/>
                  </w14:solidFill>
                </w14:textFill>
              </w:rPr>
            </w:pPr>
            <w:r>
              <w:rPr>
                <w:rFonts w:hint="eastAsia" w:ascii="方正仿宋_GBK" w:hAnsi="方正仿宋_GBK" w:eastAsia="方正仿宋_GBK" w:cs="方正仿宋_GBK"/>
                <w:color w:val="000000" w:themeColor="text1"/>
                <w:szCs w:val="28"/>
                <w14:textFill>
                  <w14:solidFill>
                    <w14:schemeClr w14:val="tx1"/>
                  </w14:solidFill>
                </w14:textFill>
              </w:rPr>
              <w:t>3.化工新材料产业共性技术研究中心</w:t>
            </w:r>
          </w:p>
          <w:p>
            <w:pPr>
              <w:pStyle w:val="10"/>
              <w:spacing w:after="0" w:line="560" w:lineRule="exact"/>
              <w:ind w:firstLine="0" w:firstLineChars="0"/>
              <w:rPr>
                <w:rFonts w:ascii="方正仿宋_GBK" w:hAnsi="方正仿宋_GBK" w:eastAsia="方正仿宋_GBK" w:cs="方正仿宋_GBK"/>
                <w:color w:val="000000" w:themeColor="text1"/>
                <w:szCs w:val="28"/>
                <w14:textFill>
                  <w14:solidFill>
                    <w14:schemeClr w14:val="tx1"/>
                  </w14:solidFill>
                </w14:textFill>
              </w:rPr>
            </w:pPr>
            <w:r>
              <w:rPr>
                <w:rFonts w:hint="eastAsia" w:ascii="方正仿宋_GBK" w:hAnsi="方正仿宋_GBK" w:eastAsia="方正仿宋_GBK" w:cs="方正仿宋_GBK"/>
                <w:color w:val="000000" w:themeColor="text1"/>
                <w:szCs w:val="28"/>
                <w14:textFill>
                  <w14:solidFill>
                    <w14:schemeClr w14:val="tx1"/>
                  </w14:solidFill>
                </w14:textFill>
              </w:rPr>
              <w:t>4.铜基新材料产业共性技术研究中心</w:t>
            </w:r>
          </w:p>
          <w:p>
            <w:pPr>
              <w:pStyle w:val="10"/>
              <w:spacing w:after="0" w:line="560" w:lineRule="exact"/>
              <w:ind w:firstLine="0" w:firstLineChars="0"/>
              <w:rPr>
                <w:rFonts w:ascii="方正楷体_GBK" w:hAnsi="方正楷体_GBK" w:eastAsia="方正楷体_GBK" w:cs="方正楷体_GBK"/>
                <w:b/>
                <w:bCs/>
                <w:color w:val="000000" w:themeColor="text1"/>
                <w:szCs w:val="28"/>
                <w14:textFill>
                  <w14:solidFill>
                    <w14:schemeClr w14:val="tx1"/>
                  </w14:solidFill>
                </w14:textFill>
              </w:rPr>
            </w:pPr>
            <w:r>
              <w:rPr>
                <w:rFonts w:hint="eastAsia" w:ascii="方正楷体_GBK" w:hAnsi="方正楷体_GBK" w:eastAsia="方正楷体_GBK" w:cs="方正楷体_GBK"/>
                <w:b/>
                <w:bCs/>
                <w:color w:val="000000" w:themeColor="text1"/>
                <w:szCs w:val="28"/>
                <w14:textFill>
                  <w14:solidFill>
                    <w14:schemeClr w14:val="tx1"/>
                  </w14:solidFill>
                </w14:textFill>
              </w:rPr>
              <w:t>（四）新能源与节能环保</w:t>
            </w:r>
          </w:p>
          <w:p>
            <w:pPr>
              <w:pStyle w:val="10"/>
              <w:spacing w:after="0" w:line="560" w:lineRule="exact"/>
              <w:ind w:firstLine="0" w:firstLineChars="0"/>
              <w:rPr>
                <w:rFonts w:ascii="方正仿宋_GBK" w:hAnsi="方正仿宋_GBK" w:eastAsia="方正仿宋_GBK" w:cs="方正仿宋_GBK"/>
                <w:color w:val="000000" w:themeColor="text1"/>
                <w:szCs w:val="28"/>
                <w14:textFill>
                  <w14:solidFill>
                    <w14:schemeClr w14:val="tx1"/>
                  </w14:solidFill>
                </w14:textFill>
              </w:rPr>
            </w:pPr>
            <w:r>
              <w:rPr>
                <w:rFonts w:hint="eastAsia" w:ascii="方正仿宋_GBK" w:hAnsi="方正仿宋_GBK" w:eastAsia="方正仿宋_GBK" w:cs="方正仿宋_GBK"/>
                <w:color w:val="000000" w:themeColor="text1"/>
                <w:szCs w:val="28"/>
                <w14:textFill>
                  <w14:solidFill>
                    <w14:schemeClr w14:val="tx1"/>
                  </w14:solidFill>
                </w14:textFill>
              </w:rPr>
              <w:t>1.光伏产业共性技术研究中心</w:t>
            </w:r>
          </w:p>
          <w:p>
            <w:pPr>
              <w:pStyle w:val="10"/>
              <w:spacing w:after="0" w:line="560" w:lineRule="exact"/>
              <w:ind w:firstLine="0" w:firstLineChars="0"/>
              <w:rPr>
                <w:rFonts w:ascii="方正仿宋_GBK" w:hAnsi="方正仿宋_GBK" w:eastAsia="方正仿宋_GBK" w:cs="方正仿宋_GBK"/>
                <w:color w:val="000000" w:themeColor="text1"/>
                <w:szCs w:val="28"/>
                <w14:textFill>
                  <w14:solidFill>
                    <w14:schemeClr w14:val="tx1"/>
                  </w14:solidFill>
                </w14:textFill>
              </w:rPr>
            </w:pPr>
            <w:r>
              <w:rPr>
                <w:rFonts w:hint="eastAsia" w:ascii="方正仿宋_GBK" w:hAnsi="方正仿宋_GBK" w:eastAsia="方正仿宋_GBK" w:cs="方正仿宋_GBK"/>
                <w:color w:val="000000" w:themeColor="text1"/>
                <w:szCs w:val="28"/>
                <w14:textFill>
                  <w14:solidFill>
                    <w14:schemeClr w14:val="tx1"/>
                  </w14:solidFill>
                </w14:textFill>
              </w:rPr>
              <w:t>2.节能产业共性技术研究中心</w:t>
            </w:r>
          </w:p>
          <w:p>
            <w:pPr>
              <w:pStyle w:val="10"/>
              <w:spacing w:after="0" w:line="560" w:lineRule="exact"/>
              <w:ind w:firstLine="0" w:firstLineChars="0"/>
              <w:rPr>
                <w:rFonts w:ascii="方正仿宋_GBK" w:hAnsi="方正仿宋_GBK" w:eastAsia="方正仿宋_GBK" w:cs="方正仿宋_GBK"/>
                <w:color w:val="000000" w:themeColor="text1"/>
                <w:szCs w:val="28"/>
                <w14:textFill>
                  <w14:solidFill>
                    <w14:schemeClr w14:val="tx1"/>
                  </w14:solidFill>
                </w14:textFill>
              </w:rPr>
            </w:pPr>
            <w:r>
              <w:rPr>
                <w:rFonts w:hint="eastAsia" w:ascii="方正仿宋_GBK" w:hAnsi="方正仿宋_GBK" w:eastAsia="方正仿宋_GBK" w:cs="方正仿宋_GBK"/>
                <w:color w:val="000000" w:themeColor="text1"/>
                <w:szCs w:val="28"/>
                <w14:textFill>
                  <w14:solidFill>
                    <w14:schemeClr w14:val="tx1"/>
                  </w14:solidFill>
                </w14:textFill>
              </w:rPr>
              <w:t>3.环保产业共性技术研究中心</w:t>
            </w:r>
          </w:p>
          <w:p>
            <w:pPr>
              <w:pStyle w:val="10"/>
              <w:spacing w:after="0" w:line="560" w:lineRule="exact"/>
              <w:ind w:firstLine="0" w:firstLineChars="0"/>
              <w:rPr>
                <w:rFonts w:ascii="方正楷体_GBK" w:hAnsi="方正楷体_GBK" w:eastAsia="方正楷体_GBK" w:cs="方正楷体_GBK"/>
                <w:b/>
                <w:bCs/>
                <w:color w:val="000000" w:themeColor="text1"/>
                <w:szCs w:val="28"/>
                <w14:textFill>
                  <w14:solidFill>
                    <w14:schemeClr w14:val="tx1"/>
                  </w14:solidFill>
                </w14:textFill>
              </w:rPr>
            </w:pPr>
            <w:r>
              <w:rPr>
                <w:rFonts w:hint="eastAsia" w:ascii="方正楷体_GBK" w:hAnsi="方正楷体_GBK" w:eastAsia="方正楷体_GBK" w:cs="方正楷体_GBK"/>
                <w:b/>
                <w:bCs/>
                <w:color w:val="000000" w:themeColor="text1"/>
                <w:szCs w:val="28"/>
                <w14:textFill>
                  <w14:solidFill>
                    <w14:schemeClr w14:val="tx1"/>
                  </w14:solidFill>
                </w14:textFill>
              </w:rPr>
              <w:t>（五）新能源汽车与智能网联汽车</w:t>
            </w:r>
          </w:p>
          <w:p>
            <w:pPr>
              <w:pStyle w:val="10"/>
              <w:spacing w:after="0" w:line="560" w:lineRule="exact"/>
              <w:ind w:firstLine="0" w:firstLineChars="0"/>
              <w:rPr>
                <w:rFonts w:ascii="方正仿宋_GBK" w:hAnsi="方正仿宋_GBK" w:eastAsia="方正仿宋_GBK" w:cs="方正仿宋_GBK"/>
                <w:color w:val="000000" w:themeColor="text1"/>
                <w:szCs w:val="28"/>
                <w14:textFill>
                  <w14:solidFill>
                    <w14:schemeClr w14:val="tx1"/>
                  </w14:solidFill>
                </w14:textFill>
              </w:rPr>
            </w:pPr>
            <w:r>
              <w:rPr>
                <w:rFonts w:hint="eastAsia" w:ascii="方正仿宋_GBK" w:hAnsi="方正仿宋_GBK" w:eastAsia="方正仿宋_GBK" w:cs="方正仿宋_GBK"/>
                <w:color w:val="000000" w:themeColor="text1"/>
                <w:szCs w:val="28"/>
                <w14:textFill>
                  <w14:solidFill>
                    <w14:schemeClr w14:val="tx1"/>
                  </w14:solidFill>
                </w14:textFill>
              </w:rPr>
              <w:t>1.新能源汽车产业共性技术研究中心</w:t>
            </w:r>
          </w:p>
          <w:p>
            <w:pPr>
              <w:pStyle w:val="10"/>
              <w:spacing w:after="0" w:line="560" w:lineRule="exact"/>
              <w:ind w:firstLine="0" w:firstLineChars="0"/>
              <w:rPr>
                <w:rFonts w:ascii="方正仿宋_GBK" w:hAnsi="方正仿宋_GBK" w:eastAsia="方正仿宋_GBK" w:cs="方正仿宋_GBK"/>
                <w:color w:val="000000" w:themeColor="text1"/>
                <w:szCs w:val="28"/>
                <w14:textFill>
                  <w14:solidFill>
                    <w14:schemeClr w14:val="tx1"/>
                  </w14:solidFill>
                </w14:textFill>
              </w:rPr>
            </w:pPr>
            <w:r>
              <w:rPr>
                <w:rFonts w:hint="eastAsia" w:ascii="方正仿宋_GBK" w:hAnsi="方正仿宋_GBK" w:eastAsia="方正仿宋_GBK" w:cs="方正仿宋_GBK"/>
                <w:color w:val="000000" w:themeColor="text1"/>
                <w:szCs w:val="28"/>
                <w14:textFill>
                  <w14:solidFill>
                    <w14:schemeClr w14:val="tx1"/>
                  </w14:solidFill>
                </w14:textFill>
              </w:rPr>
              <w:t>2.智能网联汽车产业共性技术研究中心</w:t>
            </w:r>
          </w:p>
          <w:p>
            <w:pPr>
              <w:pStyle w:val="10"/>
              <w:spacing w:after="0" w:line="560" w:lineRule="exact"/>
              <w:ind w:firstLine="0" w:firstLineChars="0"/>
              <w:rPr>
                <w:rFonts w:ascii="方正仿宋_GBK" w:hAnsi="方正仿宋_GBK" w:eastAsia="方正仿宋_GBK" w:cs="方正仿宋_GBK"/>
                <w:color w:val="000000" w:themeColor="text1"/>
                <w:szCs w:val="28"/>
                <w14:textFill>
                  <w14:solidFill>
                    <w14:schemeClr w14:val="tx1"/>
                  </w14:solidFill>
                </w14:textFill>
              </w:rPr>
            </w:pPr>
            <w:r>
              <w:rPr>
                <w:rFonts w:hint="eastAsia" w:ascii="方正仿宋_GBK" w:hAnsi="方正仿宋_GBK" w:eastAsia="方正仿宋_GBK" w:cs="方正仿宋_GBK"/>
                <w:color w:val="000000" w:themeColor="text1"/>
                <w:szCs w:val="28"/>
                <w14:textFill>
                  <w14:solidFill>
                    <w14:schemeClr w14:val="tx1"/>
                  </w14:solidFill>
                </w14:textFill>
              </w:rPr>
              <w:t>3.智能网联汽车测试产业共性技术研究中心</w:t>
            </w:r>
          </w:p>
          <w:p>
            <w:pPr>
              <w:pStyle w:val="10"/>
              <w:spacing w:after="0" w:line="560" w:lineRule="exact"/>
              <w:ind w:firstLine="0" w:firstLineChars="0"/>
              <w:rPr>
                <w:rFonts w:ascii="方正楷体_GBK" w:hAnsi="方正楷体_GBK" w:eastAsia="方正楷体_GBK" w:cs="方正楷体_GBK"/>
                <w:b/>
                <w:bCs/>
                <w:color w:val="000000" w:themeColor="text1"/>
                <w:szCs w:val="28"/>
                <w14:textFill>
                  <w14:solidFill>
                    <w14:schemeClr w14:val="tx1"/>
                  </w14:solidFill>
                </w14:textFill>
              </w:rPr>
            </w:pPr>
            <w:r>
              <w:rPr>
                <w:rFonts w:hint="eastAsia" w:ascii="方正楷体_GBK" w:hAnsi="方正楷体_GBK" w:eastAsia="方正楷体_GBK" w:cs="方正楷体_GBK"/>
                <w:b/>
                <w:bCs/>
                <w:color w:val="000000" w:themeColor="text1"/>
                <w:szCs w:val="28"/>
                <w14:textFill>
                  <w14:solidFill>
                    <w14:schemeClr w14:val="tx1"/>
                  </w14:solidFill>
                </w14:textFill>
              </w:rPr>
              <w:t>（六）高端装备制造</w:t>
            </w:r>
          </w:p>
          <w:p>
            <w:pPr>
              <w:pStyle w:val="10"/>
              <w:spacing w:after="0" w:line="560" w:lineRule="exact"/>
              <w:ind w:firstLine="0" w:firstLineChars="0"/>
              <w:rPr>
                <w:rFonts w:ascii="方正仿宋_GBK" w:hAnsi="方正仿宋_GBK" w:eastAsia="方正仿宋_GBK" w:cs="方正仿宋_GBK"/>
                <w:color w:val="000000" w:themeColor="text1"/>
                <w:szCs w:val="28"/>
                <w14:textFill>
                  <w14:solidFill>
                    <w14:schemeClr w14:val="tx1"/>
                  </w14:solidFill>
                </w14:textFill>
              </w:rPr>
            </w:pPr>
            <w:r>
              <w:rPr>
                <w:rFonts w:hint="eastAsia" w:ascii="方正仿宋_GBK" w:hAnsi="方正仿宋_GBK" w:eastAsia="方正仿宋_GBK" w:cs="方正仿宋_GBK"/>
                <w:color w:val="000000" w:themeColor="text1"/>
                <w:szCs w:val="28"/>
                <w14:textFill>
                  <w14:solidFill>
                    <w14:schemeClr w14:val="tx1"/>
                  </w14:solidFill>
                </w14:textFill>
              </w:rPr>
              <w:t>1.综合性高端装备制造产业共性技术研究中心</w:t>
            </w:r>
          </w:p>
          <w:p>
            <w:pPr>
              <w:pStyle w:val="10"/>
              <w:spacing w:after="0" w:line="560" w:lineRule="exact"/>
              <w:ind w:firstLine="0" w:firstLineChars="0"/>
              <w:rPr>
                <w:rFonts w:ascii="方正仿宋_GBK" w:hAnsi="方正仿宋_GBK" w:eastAsia="方正仿宋_GBK" w:cs="方正仿宋_GBK"/>
                <w:color w:val="000000" w:themeColor="text1"/>
                <w:szCs w:val="28"/>
                <w14:textFill>
                  <w14:solidFill>
                    <w14:schemeClr w14:val="tx1"/>
                  </w14:solidFill>
                </w14:textFill>
              </w:rPr>
            </w:pPr>
            <w:r>
              <w:rPr>
                <w:rFonts w:hint="eastAsia" w:ascii="方正仿宋_GBK" w:hAnsi="方正仿宋_GBK" w:eastAsia="方正仿宋_GBK" w:cs="方正仿宋_GBK"/>
                <w:color w:val="000000" w:themeColor="text1"/>
                <w:szCs w:val="28"/>
                <w14:textFill>
                  <w14:solidFill>
                    <w14:schemeClr w14:val="tx1"/>
                  </w14:solidFill>
                </w14:textFill>
              </w:rPr>
              <w:t>2.特色装备制造产业共性技术研究中心</w:t>
            </w:r>
          </w:p>
          <w:p>
            <w:pPr>
              <w:pStyle w:val="10"/>
              <w:spacing w:after="0" w:line="560" w:lineRule="exact"/>
              <w:ind w:firstLine="0" w:firstLineChars="0"/>
              <w:rPr>
                <w:rFonts w:ascii="方正仿宋_GBK" w:hAnsi="方正仿宋_GBK" w:eastAsia="方正仿宋_GBK" w:cs="方正仿宋_GBK"/>
                <w:color w:val="000000" w:themeColor="text1"/>
                <w:szCs w:val="28"/>
                <w14:textFill>
                  <w14:solidFill>
                    <w14:schemeClr w14:val="tx1"/>
                  </w14:solidFill>
                </w14:textFill>
              </w:rPr>
            </w:pPr>
            <w:r>
              <w:rPr>
                <w:rFonts w:hint="eastAsia" w:ascii="方正仿宋_GBK" w:hAnsi="方正仿宋_GBK" w:eastAsia="方正仿宋_GBK" w:cs="方正仿宋_GBK"/>
                <w:color w:val="000000" w:themeColor="text1"/>
                <w:szCs w:val="28"/>
                <w14:textFill>
                  <w14:solidFill>
                    <w14:schemeClr w14:val="tx1"/>
                  </w14:solidFill>
                </w14:textFill>
              </w:rPr>
              <w:t>3.智能成套装备制造产业共性技术研究中心</w:t>
            </w:r>
          </w:p>
          <w:p>
            <w:pPr>
              <w:pStyle w:val="10"/>
              <w:spacing w:after="0" w:line="560" w:lineRule="exact"/>
              <w:ind w:firstLine="0" w:firstLineChars="0"/>
              <w:rPr>
                <w:rFonts w:ascii="方正仿宋_GBK" w:hAnsi="方正仿宋_GBK" w:eastAsia="方正仿宋_GBK" w:cs="方正仿宋_GBK"/>
                <w:color w:val="000000" w:themeColor="text1"/>
                <w:szCs w:val="28"/>
                <w14:textFill>
                  <w14:solidFill>
                    <w14:schemeClr w14:val="tx1"/>
                  </w14:solidFill>
                </w14:textFill>
              </w:rPr>
            </w:pPr>
            <w:r>
              <w:rPr>
                <w:rFonts w:hint="eastAsia" w:ascii="方正仿宋_GBK" w:hAnsi="方正仿宋_GBK" w:eastAsia="方正仿宋_GBK" w:cs="方正仿宋_GBK"/>
                <w:color w:val="000000" w:themeColor="text1"/>
                <w:szCs w:val="28"/>
                <w14:textFill>
                  <w14:solidFill>
                    <w14:schemeClr w14:val="tx1"/>
                  </w14:solidFill>
                </w14:textFill>
              </w:rPr>
              <w:t>4.轨道交通装备制造产业共性技术研究中心</w:t>
            </w:r>
          </w:p>
          <w:p>
            <w:pPr>
              <w:pStyle w:val="10"/>
              <w:spacing w:after="0" w:line="560" w:lineRule="exact"/>
              <w:ind w:firstLine="0" w:firstLineChars="0"/>
              <w:rPr>
                <w:rFonts w:ascii="方正楷体_GBK" w:hAnsi="方正楷体_GBK" w:eastAsia="方正楷体_GBK" w:cs="方正楷体_GBK"/>
                <w:b/>
                <w:bCs/>
                <w:color w:val="000000" w:themeColor="text1"/>
                <w:szCs w:val="28"/>
                <w14:textFill>
                  <w14:solidFill>
                    <w14:schemeClr w14:val="tx1"/>
                  </w14:solidFill>
                </w14:textFill>
              </w:rPr>
            </w:pPr>
            <w:r>
              <w:rPr>
                <w:rFonts w:hint="eastAsia" w:ascii="方正楷体_GBK" w:hAnsi="方正楷体_GBK" w:eastAsia="方正楷体_GBK" w:cs="方正楷体_GBK"/>
                <w:b/>
                <w:bCs/>
                <w:color w:val="000000" w:themeColor="text1"/>
                <w:szCs w:val="28"/>
                <w14:textFill>
                  <w14:solidFill>
                    <w14:schemeClr w14:val="tx1"/>
                  </w14:solidFill>
                </w14:textFill>
              </w:rPr>
              <w:t>（七）智能家电</w:t>
            </w:r>
          </w:p>
          <w:p>
            <w:pPr>
              <w:pStyle w:val="10"/>
              <w:spacing w:after="0" w:line="560" w:lineRule="exact"/>
              <w:ind w:firstLine="0" w:firstLineChars="0"/>
              <w:rPr>
                <w:rFonts w:ascii="方正仿宋_GBK" w:hAnsi="方正仿宋_GBK" w:eastAsia="方正仿宋_GBK" w:cs="方正仿宋_GBK"/>
                <w:color w:val="000000" w:themeColor="text1"/>
                <w:szCs w:val="28"/>
                <w14:textFill>
                  <w14:solidFill>
                    <w14:schemeClr w14:val="tx1"/>
                  </w14:solidFill>
                </w14:textFill>
              </w:rPr>
            </w:pPr>
            <w:r>
              <w:rPr>
                <w:rFonts w:hint="eastAsia" w:ascii="方正仿宋_GBK" w:hAnsi="方正仿宋_GBK" w:eastAsia="方正仿宋_GBK" w:cs="方正仿宋_GBK"/>
                <w:color w:val="000000" w:themeColor="text1"/>
                <w:szCs w:val="28"/>
                <w14:textFill>
                  <w14:solidFill>
                    <w14:schemeClr w14:val="tx1"/>
                  </w14:solidFill>
                </w14:textFill>
              </w:rPr>
              <w:t>1.智能小家电产业共性技术研究中心</w:t>
            </w:r>
          </w:p>
          <w:p>
            <w:pPr>
              <w:pStyle w:val="10"/>
              <w:spacing w:after="0" w:line="560" w:lineRule="exact"/>
              <w:ind w:firstLine="0" w:firstLineChars="0"/>
              <w:rPr>
                <w:rFonts w:ascii="方正仿宋_GBK" w:hAnsi="方正仿宋_GBK" w:eastAsia="方正仿宋_GBK" w:cs="方正仿宋_GBK"/>
                <w:color w:val="000000" w:themeColor="text1"/>
                <w:szCs w:val="28"/>
                <w14:textFill>
                  <w14:solidFill>
                    <w14:schemeClr w14:val="tx1"/>
                  </w14:solidFill>
                </w14:textFill>
              </w:rPr>
            </w:pPr>
            <w:r>
              <w:rPr>
                <w:rFonts w:hint="eastAsia" w:ascii="方正仿宋_GBK" w:hAnsi="方正仿宋_GBK" w:eastAsia="方正仿宋_GBK" w:cs="方正仿宋_GBK"/>
                <w:color w:val="000000" w:themeColor="text1"/>
                <w:szCs w:val="28"/>
                <w14:textFill>
                  <w14:solidFill>
                    <w14:schemeClr w14:val="tx1"/>
                  </w14:solidFill>
                </w14:textFill>
              </w:rPr>
              <w:t>2.新兴智能家电产业共性技术研究中心</w:t>
            </w:r>
          </w:p>
          <w:p>
            <w:pPr>
              <w:pStyle w:val="10"/>
              <w:spacing w:after="0" w:line="560" w:lineRule="exact"/>
              <w:ind w:firstLine="0" w:firstLineChars="0"/>
              <w:rPr>
                <w:rFonts w:ascii="方正仿宋_GBK" w:hAnsi="方正仿宋_GBK" w:eastAsia="方正仿宋_GBK" w:cs="方正仿宋_GBK"/>
                <w:color w:val="000000" w:themeColor="text1"/>
                <w:szCs w:val="28"/>
                <w14:textFill>
                  <w14:solidFill>
                    <w14:schemeClr w14:val="tx1"/>
                  </w14:solidFill>
                </w14:textFill>
              </w:rPr>
            </w:pPr>
            <w:r>
              <w:rPr>
                <w:rFonts w:hint="eastAsia" w:ascii="方正仿宋_GBK" w:hAnsi="方正仿宋_GBK" w:eastAsia="方正仿宋_GBK" w:cs="方正仿宋_GBK"/>
                <w:color w:val="000000" w:themeColor="text1"/>
                <w:szCs w:val="28"/>
                <w14:textFill>
                  <w14:solidFill>
                    <w14:schemeClr w14:val="tx1"/>
                  </w14:solidFill>
                </w14:textFill>
              </w:rPr>
              <w:t>3.智能家居产业共性技术研究中心</w:t>
            </w:r>
          </w:p>
          <w:p>
            <w:pPr>
              <w:pStyle w:val="10"/>
              <w:spacing w:after="0" w:line="560" w:lineRule="exact"/>
              <w:ind w:firstLine="0" w:firstLineChars="0"/>
              <w:rPr>
                <w:rFonts w:ascii="方正楷体_GBK" w:hAnsi="方正楷体_GBK" w:eastAsia="方正楷体_GBK" w:cs="方正楷体_GBK"/>
                <w:b/>
                <w:bCs/>
                <w:color w:val="000000" w:themeColor="text1"/>
                <w:szCs w:val="28"/>
                <w14:textFill>
                  <w14:solidFill>
                    <w14:schemeClr w14:val="tx1"/>
                  </w14:solidFill>
                </w14:textFill>
              </w:rPr>
            </w:pPr>
            <w:r>
              <w:rPr>
                <w:rFonts w:hint="eastAsia" w:ascii="方正楷体_GBK" w:hAnsi="方正楷体_GBK" w:eastAsia="方正楷体_GBK" w:cs="方正楷体_GBK"/>
                <w:b/>
                <w:bCs/>
                <w:color w:val="000000" w:themeColor="text1"/>
                <w:szCs w:val="28"/>
                <w14:textFill>
                  <w14:solidFill>
                    <w14:schemeClr w14:val="tx1"/>
                  </w14:solidFill>
                </w14:textFill>
              </w:rPr>
              <w:t>（八）生命健康</w:t>
            </w:r>
          </w:p>
          <w:p>
            <w:pPr>
              <w:pStyle w:val="10"/>
              <w:spacing w:after="0" w:line="560" w:lineRule="exact"/>
              <w:ind w:firstLine="0" w:firstLineChars="0"/>
              <w:rPr>
                <w:rFonts w:ascii="方正仿宋_GBK" w:hAnsi="方正仿宋_GBK" w:eastAsia="方正仿宋_GBK" w:cs="方正仿宋_GBK"/>
                <w:color w:val="000000" w:themeColor="text1"/>
                <w:szCs w:val="28"/>
                <w14:textFill>
                  <w14:solidFill>
                    <w14:schemeClr w14:val="tx1"/>
                  </w14:solidFill>
                </w14:textFill>
              </w:rPr>
            </w:pPr>
            <w:r>
              <w:rPr>
                <w:rFonts w:hint="eastAsia" w:ascii="方正仿宋_GBK" w:hAnsi="方正仿宋_GBK" w:eastAsia="方正仿宋_GBK" w:cs="方正仿宋_GBK"/>
                <w:color w:val="000000" w:themeColor="text1"/>
                <w:szCs w:val="28"/>
                <w14:textFill>
                  <w14:solidFill>
                    <w14:schemeClr w14:val="tx1"/>
                  </w14:solidFill>
                </w14:textFill>
              </w:rPr>
              <w:t>1.现代医药产业共性技术研究中心</w:t>
            </w:r>
          </w:p>
          <w:p>
            <w:pPr>
              <w:pStyle w:val="10"/>
              <w:spacing w:after="0" w:line="560" w:lineRule="exact"/>
              <w:ind w:firstLine="0" w:firstLineChars="0"/>
              <w:rPr>
                <w:rFonts w:ascii="方正仿宋_GBK" w:hAnsi="方正仿宋_GBK" w:eastAsia="方正仿宋_GBK" w:cs="方正仿宋_GBK"/>
                <w:color w:val="000000" w:themeColor="text1"/>
                <w:szCs w:val="28"/>
                <w14:textFill>
                  <w14:solidFill>
                    <w14:schemeClr w14:val="tx1"/>
                  </w14:solidFill>
                </w14:textFill>
              </w:rPr>
            </w:pPr>
            <w:r>
              <w:rPr>
                <w:rFonts w:hint="eastAsia" w:ascii="方正仿宋_GBK" w:hAnsi="方正仿宋_GBK" w:eastAsia="方正仿宋_GBK" w:cs="方正仿宋_GBK"/>
                <w:color w:val="000000" w:themeColor="text1"/>
                <w:szCs w:val="28"/>
                <w14:textFill>
                  <w14:solidFill>
                    <w14:schemeClr w14:val="tx1"/>
                  </w14:solidFill>
                </w14:textFill>
              </w:rPr>
              <w:t>2.现代中药产业共性技术研究中心</w:t>
            </w:r>
          </w:p>
          <w:p>
            <w:pPr>
              <w:pStyle w:val="10"/>
              <w:spacing w:after="0" w:line="560" w:lineRule="exact"/>
              <w:ind w:firstLine="0" w:firstLineChars="0"/>
              <w:rPr>
                <w:rFonts w:ascii="方正仿宋_GBK" w:hAnsi="方正仿宋_GBK" w:eastAsia="方正仿宋_GBK" w:cs="方正仿宋_GBK"/>
                <w:color w:val="000000" w:themeColor="text1"/>
                <w:szCs w:val="28"/>
                <w14:textFill>
                  <w14:solidFill>
                    <w14:schemeClr w14:val="tx1"/>
                  </w14:solidFill>
                </w14:textFill>
              </w:rPr>
            </w:pPr>
            <w:r>
              <w:rPr>
                <w:rFonts w:hint="eastAsia" w:ascii="方正仿宋_GBK" w:hAnsi="方正仿宋_GBK" w:eastAsia="方正仿宋_GBK" w:cs="方正仿宋_GBK"/>
                <w:color w:val="000000" w:themeColor="text1"/>
                <w:szCs w:val="28"/>
                <w14:textFill>
                  <w14:solidFill>
                    <w14:schemeClr w14:val="tx1"/>
                  </w14:solidFill>
                </w14:textFill>
              </w:rPr>
              <w:t>3.生命健康产业共性技术研究中心</w:t>
            </w:r>
          </w:p>
          <w:p>
            <w:pPr>
              <w:pStyle w:val="10"/>
              <w:spacing w:after="0" w:line="560" w:lineRule="exact"/>
              <w:ind w:firstLine="0" w:firstLineChars="0"/>
              <w:rPr>
                <w:rFonts w:ascii="方正楷体_GBK" w:hAnsi="方正楷体_GBK" w:eastAsia="方正楷体_GBK" w:cs="方正楷体_GBK"/>
                <w:b/>
                <w:bCs/>
                <w:color w:val="000000" w:themeColor="text1"/>
                <w:szCs w:val="28"/>
                <w14:textFill>
                  <w14:solidFill>
                    <w14:schemeClr w14:val="tx1"/>
                  </w14:solidFill>
                </w14:textFill>
              </w:rPr>
            </w:pPr>
            <w:r>
              <w:rPr>
                <w:rFonts w:hint="eastAsia" w:ascii="方正楷体_GBK" w:hAnsi="方正楷体_GBK" w:eastAsia="方正楷体_GBK" w:cs="方正楷体_GBK"/>
                <w:b/>
                <w:bCs/>
                <w:color w:val="000000" w:themeColor="text1"/>
                <w:szCs w:val="28"/>
                <w14:textFill>
                  <w14:solidFill>
                    <w14:schemeClr w14:val="tx1"/>
                  </w14:solidFill>
                </w14:textFill>
              </w:rPr>
              <w:t>（九）绿色食品</w:t>
            </w:r>
          </w:p>
          <w:p>
            <w:pPr>
              <w:pStyle w:val="10"/>
              <w:spacing w:after="0" w:line="560" w:lineRule="exact"/>
              <w:ind w:firstLine="0" w:firstLineChars="0"/>
              <w:rPr>
                <w:rFonts w:ascii="方正仿宋_GBK" w:hAnsi="方正仿宋_GBK" w:eastAsia="方正仿宋_GBK" w:cs="方正仿宋_GBK"/>
                <w:color w:val="000000" w:themeColor="text1"/>
                <w:szCs w:val="28"/>
                <w14:textFill>
                  <w14:solidFill>
                    <w14:schemeClr w14:val="tx1"/>
                  </w14:solidFill>
                </w14:textFill>
              </w:rPr>
            </w:pPr>
            <w:r>
              <w:rPr>
                <w:rFonts w:hint="eastAsia" w:ascii="方正仿宋_GBK" w:hAnsi="方正仿宋_GBK" w:eastAsia="方正仿宋_GBK" w:cs="方正仿宋_GBK"/>
                <w:color w:val="000000" w:themeColor="text1"/>
                <w:szCs w:val="28"/>
                <w14:textFill>
                  <w14:solidFill>
                    <w14:schemeClr w14:val="tx1"/>
                  </w14:solidFill>
                </w14:textFill>
              </w:rPr>
              <w:t>1.现代种业产业共性技术研究中心</w:t>
            </w:r>
          </w:p>
          <w:p>
            <w:pPr>
              <w:pStyle w:val="10"/>
              <w:spacing w:after="0" w:line="560" w:lineRule="exact"/>
              <w:ind w:firstLine="0" w:firstLineChars="0"/>
              <w:rPr>
                <w:rFonts w:ascii="方正仿宋_GBK" w:hAnsi="方正仿宋_GBK" w:eastAsia="方正仿宋_GBK" w:cs="方正仿宋_GBK"/>
                <w:color w:val="000000" w:themeColor="text1"/>
                <w:szCs w:val="28"/>
                <w14:textFill>
                  <w14:solidFill>
                    <w14:schemeClr w14:val="tx1"/>
                  </w14:solidFill>
                </w14:textFill>
              </w:rPr>
            </w:pPr>
            <w:r>
              <w:rPr>
                <w:rFonts w:hint="eastAsia" w:ascii="方正仿宋_GBK" w:hAnsi="方正仿宋_GBK" w:eastAsia="方正仿宋_GBK" w:cs="方正仿宋_GBK"/>
                <w:color w:val="000000" w:themeColor="text1"/>
                <w:szCs w:val="28"/>
                <w14:textFill>
                  <w14:solidFill>
                    <w14:schemeClr w14:val="tx1"/>
                  </w14:solidFill>
                </w14:textFill>
              </w:rPr>
              <w:t>2.绿色食品产业共性技术研究中心</w:t>
            </w:r>
          </w:p>
          <w:p>
            <w:pPr>
              <w:pStyle w:val="10"/>
              <w:spacing w:after="0" w:line="560" w:lineRule="exact"/>
              <w:ind w:firstLine="0" w:firstLineChars="0"/>
              <w:rPr>
                <w:rFonts w:ascii="方正仿宋_GBK" w:hAnsi="方正仿宋_GBK" w:eastAsia="方正仿宋_GBK" w:cs="方正仿宋_GBK"/>
                <w:color w:val="000000" w:themeColor="text1"/>
                <w:szCs w:val="28"/>
                <w14:textFill>
                  <w14:solidFill>
                    <w14:schemeClr w14:val="tx1"/>
                  </w14:solidFill>
                </w14:textFill>
              </w:rPr>
            </w:pPr>
            <w:r>
              <w:rPr>
                <w:rFonts w:hint="eastAsia" w:ascii="方正仿宋_GBK" w:hAnsi="方正仿宋_GBK" w:eastAsia="方正仿宋_GBK" w:cs="方正仿宋_GBK"/>
                <w:color w:val="000000" w:themeColor="text1"/>
                <w:szCs w:val="28"/>
                <w14:textFill>
                  <w14:solidFill>
                    <w14:schemeClr w14:val="tx1"/>
                  </w14:solidFill>
                </w14:textFill>
              </w:rPr>
              <w:t>3.现代农作物产业共性技术研究中心</w:t>
            </w:r>
          </w:p>
          <w:p>
            <w:pPr>
              <w:pStyle w:val="10"/>
              <w:spacing w:after="0" w:line="560" w:lineRule="exact"/>
              <w:ind w:firstLine="0" w:firstLineChars="0"/>
              <w:rPr>
                <w:rFonts w:ascii="方正楷体_GBK" w:hAnsi="方正楷体_GBK" w:eastAsia="方正楷体_GBK" w:cs="方正楷体_GBK"/>
                <w:b/>
                <w:bCs/>
                <w:color w:val="000000" w:themeColor="text1"/>
                <w:szCs w:val="28"/>
                <w14:textFill>
                  <w14:solidFill>
                    <w14:schemeClr w14:val="tx1"/>
                  </w14:solidFill>
                </w14:textFill>
              </w:rPr>
            </w:pPr>
            <w:r>
              <w:rPr>
                <w:rFonts w:hint="eastAsia" w:ascii="方正楷体_GBK" w:hAnsi="方正楷体_GBK" w:eastAsia="方正楷体_GBK" w:cs="方正楷体_GBK"/>
                <w:b/>
                <w:bCs/>
                <w:color w:val="000000" w:themeColor="text1"/>
                <w:szCs w:val="28"/>
                <w14:textFill>
                  <w14:solidFill>
                    <w14:schemeClr w14:val="tx1"/>
                  </w14:solidFill>
                </w14:textFill>
              </w:rPr>
              <w:t>（十）数字创意</w:t>
            </w:r>
          </w:p>
          <w:p>
            <w:pPr>
              <w:pStyle w:val="10"/>
              <w:spacing w:after="0" w:line="560" w:lineRule="exact"/>
              <w:ind w:firstLine="0" w:firstLineChars="0"/>
              <w:rPr>
                <w:rFonts w:ascii="方正仿宋_GBK" w:hAnsi="方正仿宋_GBK" w:eastAsia="方正仿宋_GBK" w:cs="方正仿宋_GBK"/>
                <w:color w:val="000000" w:themeColor="text1"/>
                <w:szCs w:val="28"/>
                <w14:textFill>
                  <w14:solidFill>
                    <w14:schemeClr w14:val="tx1"/>
                  </w14:solidFill>
                </w14:textFill>
              </w:rPr>
            </w:pPr>
            <w:r>
              <w:rPr>
                <w:rFonts w:hint="eastAsia" w:ascii="方正仿宋_GBK" w:hAnsi="方正仿宋_GBK" w:eastAsia="方正仿宋_GBK" w:cs="方正仿宋_GBK"/>
                <w:color w:val="000000" w:themeColor="text1"/>
                <w:szCs w:val="28"/>
                <w14:textFill>
                  <w14:solidFill>
                    <w14:schemeClr w14:val="tx1"/>
                  </w14:solidFill>
                </w14:textFill>
              </w:rPr>
              <w:t>1.创意文化产业共性技术研究中心</w:t>
            </w:r>
          </w:p>
          <w:p>
            <w:pPr>
              <w:pStyle w:val="10"/>
              <w:spacing w:after="0" w:line="560" w:lineRule="exact"/>
              <w:ind w:firstLine="0" w:firstLineChars="0"/>
              <w:rPr>
                <w:rFonts w:ascii="方正仿宋_GBK" w:hAnsi="方正仿宋_GBK" w:eastAsia="方正仿宋_GBK" w:cs="方正仿宋_GBK"/>
                <w:color w:val="000000" w:themeColor="text1"/>
                <w:szCs w:val="28"/>
                <w14:textFill>
                  <w14:solidFill>
                    <w14:schemeClr w14:val="tx1"/>
                  </w14:solidFill>
                </w14:textFill>
              </w:rPr>
            </w:pPr>
            <w:r>
              <w:rPr>
                <w:rFonts w:hint="eastAsia" w:ascii="方正仿宋_GBK" w:hAnsi="方正仿宋_GBK" w:eastAsia="方正仿宋_GBK" w:cs="方正仿宋_GBK"/>
                <w:color w:val="000000" w:themeColor="text1"/>
                <w:szCs w:val="28"/>
                <w14:textFill>
                  <w14:solidFill>
                    <w14:schemeClr w14:val="tx1"/>
                  </w14:solidFill>
                </w14:textFill>
              </w:rPr>
              <w:t>2.动漫游戏产业共性技术研究中心</w:t>
            </w:r>
          </w:p>
          <w:p>
            <w:pPr>
              <w:pStyle w:val="10"/>
              <w:spacing w:after="0" w:line="560" w:lineRule="exact"/>
              <w:ind w:firstLine="0" w:firstLineChars="0"/>
              <w:rPr>
                <w:rStyle w:val="16"/>
                <w:rFonts w:ascii="方正仿宋_GBK" w:hAnsi="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Cs w:val="28"/>
                <w14:textFill>
                  <w14:solidFill>
                    <w14:schemeClr w14:val="tx1"/>
                  </w14:solidFill>
                </w14:textFill>
              </w:rPr>
              <w:t>3.文化旅游产业共性技术研究中心</w:t>
            </w:r>
          </w:p>
        </w:tc>
      </w:tr>
      <w:bookmarkEnd w:id="0"/>
    </w:tbl>
    <w:p>
      <w:pPr>
        <w:adjustRightInd w:val="0"/>
        <w:snapToGrid w:val="0"/>
        <w:spacing w:line="560" w:lineRule="exact"/>
        <w:ind w:firstLine="640" w:firstLineChars="200"/>
        <w:rPr>
          <w:rFonts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五、组织实施</w:t>
      </w:r>
    </w:p>
    <w:p>
      <w:pPr>
        <w:pStyle w:val="8"/>
        <w:widowControl/>
        <w:spacing w:beforeAutospacing="0" w:afterAutospacing="0" w:line="560" w:lineRule="exact"/>
        <w:ind w:firstLine="645"/>
        <w:rPr>
          <w:rFonts w:ascii="方正楷体_GBK" w:hAnsi="方正楷体_GBK" w:eastAsia="方正楷体_GBK" w:cs="方正楷体_GBK"/>
          <w:b/>
          <w:bCs/>
          <w:color w:val="000000" w:themeColor="text1"/>
          <w:kern w:val="2"/>
          <w:sz w:val="32"/>
          <w:szCs w:val="32"/>
          <w14:textFill>
            <w14:solidFill>
              <w14:schemeClr w14:val="tx1"/>
            </w14:solidFill>
          </w14:textFill>
        </w:rPr>
      </w:pPr>
      <w:r>
        <w:rPr>
          <w:rFonts w:hint="eastAsia" w:ascii="方正楷体_GBK" w:hAnsi="方正楷体_GBK" w:eastAsia="方正楷体_GBK" w:cs="方正楷体_GBK"/>
          <w:b/>
          <w:bCs/>
          <w:color w:val="000000" w:themeColor="text1"/>
          <w:kern w:val="2"/>
          <w:sz w:val="32"/>
          <w:szCs w:val="32"/>
          <w14:textFill>
            <w14:solidFill>
              <w14:schemeClr w14:val="tx1"/>
            </w14:solidFill>
          </w14:textFill>
        </w:rPr>
        <w:t>（一）组建主体</w:t>
      </w:r>
    </w:p>
    <w:p>
      <w:pPr>
        <w:pStyle w:val="10"/>
        <w:spacing w:after="0" w:line="560" w:lineRule="exact"/>
        <w:ind w:firstLine="640"/>
        <w:rPr>
          <w:rFonts w:ascii="方正仿宋_GBK" w:hAnsi="方正仿宋_GBK" w:eastAsia="方正仿宋_GBK" w:cs="方正仿宋_GBK"/>
          <w:color w:val="000000" w:themeColor="text1"/>
          <w:sz w:val="32"/>
          <w14:textFill>
            <w14:solidFill>
              <w14:schemeClr w14:val="tx1"/>
            </w14:solidFill>
          </w14:textFill>
        </w:rPr>
      </w:pPr>
      <w:r>
        <w:rPr>
          <w:rFonts w:hint="eastAsia" w:ascii="方正仿宋_GBK" w:hAnsi="方正仿宋_GBK" w:eastAsia="方正仿宋_GBK" w:cs="方正仿宋_GBK"/>
          <w:color w:val="000000" w:themeColor="text1"/>
          <w:sz w:val="32"/>
          <w14:textFill>
            <w14:solidFill>
              <w14:schemeClr w14:val="tx1"/>
            </w14:solidFill>
          </w14:textFill>
        </w:rPr>
        <w:t>研究中心采取“省市共建、以市为主”的建设方式，主要由地方政府或有关部门联合科研优势突出的高校、科研院所、领军企业等，集聚整合相关科研力量和创新资源，带动上下游优势企业、高校、科研院所等共同参与建设，打通产学研创新链产业链价值链，促进“科学发现、技术发明、产业发展”一体联动。</w:t>
      </w:r>
    </w:p>
    <w:p>
      <w:pPr>
        <w:pStyle w:val="8"/>
        <w:widowControl/>
        <w:spacing w:beforeAutospacing="0" w:afterAutospacing="0" w:line="560" w:lineRule="exact"/>
        <w:ind w:firstLine="645"/>
        <w:rPr>
          <w:rFonts w:ascii="方正楷体_GBK" w:hAnsi="方正楷体_GBK" w:eastAsia="方正楷体_GBK" w:cs="方正楷体_GBK"/>
          <w:b/>
          <w:bCs/>
          <w:color w:val="000000" w:themeColor="text1"/>
          <w:kern w:val="2"/>
          <w:sz w:val="32"/>
          <w:szCs w:val="32"/>
          <w14:textFill>
            <w14:solidFill>
              <w14:schemeClr w14:val="tx1"/>
            </w14:solidFill>
          </w14:textFill>
        </w:rPr>
      </w:pPr>
      <w:r>
        <w:rPr>
          <w:rFonts w:hint="eastAsia" w:ascii="方正楷体_GBK" w:hAnsi="方正楷体_GBK" w:eastAsia="方正楷体_GBK" w:cs="方正楷体_GBK"/>
          <w:b/>
          <w:bCs/>
          <w:color w:val="000000" w:themeColor="text1"/>
          <w:kern w:val="2"/>
          <w:sz w:val="32"/>
          <w:szCs w:val="32"/>
          <w14:textFill>
            <w14:solidFill>
              <w14:schemeClr w14:val="tx1"/>
            </w14:solidFill>
          </w14:textFill>
        </w:rPr>
        <w:t>（二）组建程序</w:t>
      </w:r>
    </w:p>
    <w:p>
      <w:pPr>
        <w:pStyle w:val="10"/>
        <w:spacing w:after="0" w:line="560" w:lineRule="exact"/>
        <w:ind w:firstLine="640"/>
        <w:rPr>
          <w:rFonts w:ascii="方正仿宋_GBK" w:hAnsi="方正仿宋_GBK" w:eastAsia="方正仿宋_GBK" w:cs="方正仿宋_GBK"/>
          <w:color w:val="000000" w:themeColor="text1"/>
          <w:sz w:val="32"/>
          <w14:textFill>
            <w14:solidFill>
              <w14:schemeClr w14:val="tx1"/>
            </w14:solidFill>
          </w14:textFill>
        </w:rPr>
      </w:pPr>
      <w:r>
        <w:rPr>
          <w:rFonts w:hint="eastAsia" w:ascii="方正仿宋_GBK" w:hAnsi="方正仿宋_GBK" w:eastAsia="方正仿宋_GBK" w:cs="方正仿宋_GBK"/>
          <w:color w:val="000000" w:themeColor="text1"/>
          <w:sz w:val="32"/>
          <w14:textFill>
            <w14:solidFill>
              <w14:schemeClr w14:val="tx1"/>
            </w14:solidFill>
          </w14:textFill>
        </w:rPr>
        <w:t>各组建主体按照建设要求，坚持“一中心一政策”原则，制定研究中心的建设方案，并配套相关扶持政策，条件成熟后由</w:t>
      </w:r>
      <w:r>
        <w:rPr>
          <w:rFonts w:hint="eastAsia" w:ascii="方正仿宋_GBK" w:hAnsi="方正仿宋_GBK" w:eastAsia="方正仿宋_GBK" w:cs="方正仿宋_GBK"/>
          <w:color w:val="000000" w:themeColor="text1"/>
          <w:sz w:val="32"/>
          <w:lang w:eastAsia="zh-CN"/>
          <w14:textFill>
            <w14:solidFill>
              <w14:schemeClr w14:val="tx1"/>
            </w14:solidFill>
          </w14:textFill>
        </w:rPr>
        <w:t>高校和</w:t>
      </w:r>
      <w:r>
        <w:rPr>
          <w:rFonts w:hint="eastAsia" w:ascii="方正仿宋_GBK" w:hAnsi="方正仿宋_GBK" w:eastAsia="方正仿宋_GBK" w:cs="方正仿宋_GBK"/>
          <w:color w:val="000000" w:themeColor="text1"/>
          <w:sz w:val="32"/>
          <w14:textFill>
            <w14:solidFill>
              <w14:schemeClr w14:val="tx1"/>
            </w14:solidFill>
          </w14:textFill>
        </w:rPr>
        <w:t>地级市</w:t>
      </w:r>
      <w:r>
        <w:rPr>
          <w:rFonts w:hint="eastAsia" w:ascii="方正仿宋_GBK" w:hAnsi="方正仿宋_GBK" w:eastAsia="方正仿宋_GBK" w:cs="方正仿宋_GBK"/>
          <w:color w:val="000000" w:themeColor="text1"/>
          <w:sz w:val="32"/>
          <w:lang w:eastAsia="zh-CN"/>
          <w14:textFill>
            <w14:solidFill>
              <w14:schemeClr w14:val="tx1"/>
            </w14:solidFill>
          </w14:textFill>
        </w:rPr>
        <w:t>共同牵头，</w:t>
      </w:r>
      <w:r>
        <w:rPr>
          <w:rFonts w:hint="eastAsia" w:ascii="方正仿宋_GBK" w:hAnsi="方正仿宋_GBK" w:eastAsia="方正仿宋_GBK" w:cs="方正仿宋_GBK"/>
          <w:color w:val="000000" w:themeColor="text1"/>
          <w:sz w:val="32"/>
          <w14:textFill>
            <w14:solidFill>
              <w14:schemeClr w14:val="tx1"/>
            </w14:solidFill>
          </w14:textFill>
        </w:rPr>
        <w:t>向省有关部门提出申请，成熟一个、认定一个。</w:t>
      </w:r>
    </w:p>
    <w:p>
      <w:pPr>
        <w:pStyle w:val="8"/>
        <w:widowControl/>
        <w:spacing w:beforeAutospacing="0" w:afterAutospacing="0" w:line="560" w:lineRule="exact"/>
        <w:ind w:firstLine="643" w:firstLineChars="200"/>
        <w:rPr>
          <w:rFonts w:ascii="方正楷体_GBK" w:hAnsi="方正楷体_GBK" w:eastAsia="方正楷体_GBK" w:cs="方正楷体_GBK"/>
          <w:b/>
          <w:bCs/>
          <w:color w:val="000000" w:themeColor="text1"/>
          <w:kern w:val="2"/>
          <w:sz w:val="32"/>
          <w:szCs w:val="32"/>
          <w14:textFill>
            <w14:solidFill>
              <w14:schemeClr w14:val="tx1"/>
            </w14:solidFill>
          </w14:textFill>
        </w:rPr>
      </w:pPr>
      <w:r>
        <w:rPr>
          <w:rFonts w:hint="eastAsia" w:ascii="方正楷体_GBK" w:hAnsi="方正楷体_GBK" w:eastAsia="方正楷体_GBK" w:cs="方正楷体_GBK"/>
          <w:b/>
          <w:bCs/>
          <w:color w:val="000000" w:themeColor="text1"/>
          <w:kern w:val="2"/>
          <w:sz w:val="32"/>
          <w:szCs w:val="32"/>
          <w14:textFill>
            <w14:solidFill>
              <w14:schemeClr w14:val="tx1"/>
            </w14:solidFill>
          </w14:textFill>
        </w:rPr>
        <w:t>（三）组建条件</w:t>
      </w:r>
    </w:p>
    <w:p>
      <w:pPr>
        <w:pStyle w:val="10"/>
        <w:spacing w:after="0" w:line="560" w:lineRule="exact"/>
        <w:ind w:firstLine="640"/>
        <w:rPr>
          <w:rFonts w:ascii="方正仿宋_GBK" w:hAnsi="方正仿宋_GBK" w:eastAsia="方正仿宋_GBK" w:cs="方正仿宋_GBK"/>
          <w:color w:val="000000" w:themeColor="text1"/>
          <w:sz w:val="32"/>
          <w14:textFill>
            <w14:solidFill>
              <w14:schemeClr w14:val="tx1"/>
            </w14:solidFill>
          </w14:textFill>
        </w:rPr>
      </w:pPr>
      <w:r>
        <w:rPr>
          <w:rFonts w:hint="eastAsia" w:ascii="方正仿宋_GBK" w:hAnsi="方正仿宋_GBK" w:eastAsia="方正仿宋_GBK" w:cs="方正仿宋_GBK"/>
          <w:color w:val="000000" w:themeColor="text1"/>
          <w:sz w:val="32"/>
          <w14:textFill>
            <w14:solidFill>
              <w14:schemeClr w14:val="tx1"/>
            </w14:solidFill>
          </w14:textFill>
        </w:rPr>
        <w:t>研究中心提请认定需具备与当地经济社会发展水平相适应的优势特色产业规模，实体化运行场所（符合办公用途和实验工业厂房标准建设，均为“拎包”入驻标准），稳定的建设经费和运行经费（满足研究中心日常办公运行、人才引进、技术研发、成果转化等），科研所需基础设施与仪器设备，高水平的核心人才及团队等。</w:t>
      </w:r>
    </w:p>
    <w:p>
      <w:pPr>
        <w:adjustRightInd w:val="0"/>
        <w:snapToGrid w:val="0"/>
        <w:spacing w:line="560" w:lineRule="exact"/>
        <w:ind w:firstLine="640" w:firstLineChars="200"/>
        <w:rPr>
          <w:rFonts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六、保障措施</w:t>
      </w:r>
    </w:p>
    <w:p>
      <w:pPr>
        <w:snapToGrid w:val="0"/>
        <w:spacing w:line="560" w:lineRule="exact"/>
        <w:ind w:firstLine="643"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（一）加强组织领导。</w:t>
      </w:r>
      <w:r>
        <w:rPr>
          <w:rFonts w:hint="eastAsia" w:ascii="方正仿宋_GBK" w:hAnsi="方正仿宋_GBK" w:eastAsia="方正仿宋_GBK" w:cs="方正仿宋_GBK"/>
          <w:color w:val="000000" w:themeColor="text1"/>
          <w:sz w:val="32"/>
          <w:szCs w:val="32"/>
          <w14:textFill>
            <w14:solidFill>
              <w14:schemeClr w14:val="tx1"/>
            </w14:solidFill>
          </w14:textFill>
        </w:rPr>
        <w:t>由省教育厅和省</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发展改革委</w:t>
      </w:r>
      <w:r>
        <w:rPr>
          <w:rFonts w:hint="eastAsia" w:ascii="方正仿宋_GBK" w:hAnsi="方正仿宋_GBK" w:eastAsia="方正仿宋_GBK" w:cs="方正仿宋_GBK"/>
          <w:color w:val="000000" w:themeColor="text1"/>
          <w:sz w:val="32"/>
          <w:szCs w:val="32"/>
          <w14:textFill>
            <w14:solidFill>
              <w14:schemeClr w14:val="tx1"/>
            </w14:solidFill>
          </w14:textFill>
        </w:rPr>
        <w:t>共同成立研究中心建设工作领导小组，结合各自工作职能，协同推进研究中心的建设运转和监督管理等，办公室设在省教育厅。各地级市建立相应的工作机制，并根据当地产业发展需求和人才资源优势等，不断加强研究中心的谋划、建设和条件保障。</w:t>
      </w:r>
    </w:p>
    <w:p>
      <w:pPr>
        <w:pStyle w:val="10"/>
        <w:spacing w:after="0" w:line="560" w:lineRule="exact"/>
        <w:ind w:firstLine="640"/>
        <w:rPr>
          <w:rFonts w:ascii="方正仿宋_GBK" w:hAnsi="方正仿宋_GBK" w:eastAsia="方正仿宋_GBK" w:cs="方正仿宋_GBK"/>
          <w:color w:val="000000" w:themeColor="text1"/>
          <w:sz w:val="32"/>
          <w14:textFill>
            <w14:solidFill>
              <w14:schemeClr w14:val="tx1"/>
            </w14:solidFill>
          </w14:textFill>
        </w:rPr>
      </w:pPr>
      <w:r>
        <w:rPr>
          <w:rFonts w:hint="eastAsia" w:ascii="方正楷体_GBK" w:hAnsi="方正楷体_GBK" w:eastAsia="方正楷体_GBK" w:cs="方正楷体_GBK"/>
          <w:b/>
          <w:bCs/>
          <w:color w:val="000000" w:themeColor="text1"/>
          <w:sz w:val="32"/>
          <w14:textFill>
            <w14:solidFill>
              <w14:schemeClr w14:val="tx1"/>
            </w14:solidFill>
          </w14:textFill>
        </w:rPr>
        <w:t>（二）强化政策落实。</w:t>
      </w:r>
      <w:r>
        <w:rPr>
          <w:rFonts w:hint="eastAsia" w:ascii="方正仿宋_GBK" w:hAnsi="方正仿宋_GBK" w:eastAsia="方正仿宋_GBK" w:cs="方正仿宋_GBK"/>
          <w:color w:val="000000" w:themeColor="text1"/>
          <w:sz w:val="32"/>
          <w14:textFill>
            <w14:solidFill>
              <w14:schemeClr w14:val="tx1"/>
            </w14:solidFill>
          </w14:textFill>
        </w:rPr>
        <w:t>领导小组负责研究中心建设的顶层设计和资源统筹协调，采取“一事一议、特事特办”的方式研究解决建设运行中出现的问题。建立政府、高校、企业协同对接机制，实行研究中心共建、共商、共治、共享。对支撑和引领全省科技进步、高端人才培育、产业发展升级具有重大意义的研究中心，各级政府共同给予最大力度的政策和资金扶持。</w:t>
      </w:r>
      <w:r>
        <w:rPr>
          <w:rFonts w:hint="eastAsia" w:ascii="方正仿宋_GBK" w:hAnsi="方正仿宋_GBK" w:eastAsia="方正仿宋_GBK" w:cs="方正仿宋_GBK"/>
          <w:color w:val="000000" w:themeColor="text1"/>
          <w:sz w:val="32"/>
          <w:lang w:eastAsia="zh-CN"/>
          <w14:textFill>
            <w14:solidFill>
              <w14:schemeClr w14:val="tx1"/>
            </w14:solidFill>
          </w14:textFill>
        </w:rPr>
        <w:t>鼓励</w:t>
      </w:r>
      <w:r>
        <w:rPr>
          <w:rFonts w:hint="eastAsia" w:ascii="方正仿宋_GBK" w:hAnsi="方正仿宋_GBK" w:eastAsia="方正仿宋_GBK" w:cs="方正仿宋_GBK"/>
          <w:color w:val="000000" w:themeColor="text1"/>
          <w:sz w:val="32"/>
          <w14:textFill>
            <w14:solidFill>
              <w14:schemeClr w14:val="tx1"/>
            </w14:solidFill>
          </w14:textFill>
        </w:rPr>
        <w:t>地级市安排专项经费，</w:t>
      </w:r>
      <w:r>
        <w:rPr>
          <w:rFonts w:hint="eastAsia" w:ascii="方正仿宋_GBK" w:hAnsi="方正仿宋_GBK" w:eastAsia="方正仿宋_GBK" w:cs="方正仿宋_GBK"/>
          <w:color w:val="000000" w:themeColor="text1"/>
          <w:sz w:val="32"/>
          <w:lang w:eastAsia="zh-CN"/>
          <w14:textFill>
            <w14:solidFill>
              <w14:schemeClr w14:val="tx1"/>
            </w14:solidFill>
          </w14:textFill>
        </w:rPr>
        <w:t>支持</w:t>
      </w:r>
      <w:r>
        <w:rPr>
          <w:rFonts w:hint="eastAsia" w:ascii="方正仿宋_GBK" w:hAnsi="方正仿宋_GBK" w:eastAsia="方正仿宋_GBK" w:cs="方正仿宋_GBK"/>
          <w:color w:val="000000" w:themeColor="text1"/>
          <w:sz w:val="32"/>
          <w14:textFill>
            <w14:solidFill>
              <w14:schemeClr w14:val="tx1"/>
            </w14:solidFill>
          </w14:textFill>
        </w:rPr>
        <w:t>中心的建设和运行。经认定的研究中心，在建设期内，</w:t>
      </w:r>
      <w:r>
        <w:rPr>
          <w:rFonts w:hint="eastAsia" w:ascii="方正仿宋_GBK" w:hAnsi="方正仿宋_GBK" w:eastAsia="方正仿宋_GBK" w:cs="方正仿宋_GBK"/>
          <w:color w:val="000000" w:themeColor="text1"/>
          <w:sz w:val="32"/>
          <w:lang w:eastAsia="zh-CN"/>
          <w14:textFill>
            <w14:solidFill>
              <w14:schemeClr w14:val="tx1"/>
            </w14:solidFill>
          </w14:textFill>
        </w:rPr>
        <w:t>省教育厅</w:t>
      </w:r>
      <w:bookmarkStart w:id="1" w:name="_GoBack"/>
      <w:bookmarkEnd w:id="1"/>
      <w:r>
        <w:rPr>
          <w:rFonts w:hint="eastAsia" w:ascii="方正仿宋_GBK" w:hAnsi="方正仿宋_GBK" w:eastAsia="方正仿宋_GBK" w:cs="方正仿宋_GBK"/>
          <w:color w:val="000000" w:themeColor="text1"/>
          <w:sz w:val="32"/>
          <w14:textFill>
            <w14:solidFill>
              <w14:schemeClr w14:val="tx1"/>
            </w14:solidFill>
          </w14:textFill>
        </w:rPr>
        <w:t>每年给予100万元经费支持。</w:t>
      </w:r>
    </w:p>
    <w:p>
      <w:pPr>
        <w:pStyle w:val="5"/>
        <w:spacing w:after="0" w:line="560" w:lineRule="exact"/>
        <w:ind w:left="0" w:leftChars="0" w:firstLine="643"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（三）优化发展环境。</w:t>
      </w:r>
      <w:r>
        <w:rPr>
          <w:rFonts w:ascii="方正仿宋_GBK" w:hAnsi="方正仿宋_GBK" w:eastAsia="方正仿宋_GBK" w:cs="方正仿宋_GBK"/>
          <w:color w:val="000000" w:themeColor="text1"/>
          <w:sz w:val="32"/>
          <w:szCs w:val="32"/>
          <w14:textFill>
            <w14:solidFill>
              <w14:schemeClr w14:val="tx1"/>
            </w14:solidFill>
          </w14:textFill>
        </w:rPr>
        <w:t>赋予</w:t>
      </w:r>
      <w:r>
        <w:rPr>
          <w:rFonts w:hint="eastAsia" w:ascii="方正仿宋_GBK" w:hAnsi="方正仿宋_GBK" w:eastAsia="方正仿宋_GBK" w:cs="方正仿宋_GBK"/>
          <w:color w:val="000000" w:themeColor="text1"/>
          <w:sz w:val="32"/>
          <w:szCs w:val="32"/>
          <w14:textFill>
            <w14:solidFill>
              <w14:schemeClr w14:val="tx1"/>
            </w14:solidFill>
          </w14:textFill>
        </w:rPr>
        <w:t>研究中心</w:t>
      </w:r>
      <w:r>
        <w:rPr>
          <w:rFonts w:ascii="方正仿宋_GBK" w:hAnsi="方正仿宋_GBK" w:eastAsia="方正仿宋_GBK" w:cs="方正仿宋_GBK"/>
          <w:color w:val="000000" w:themeColor="text1"/>
          <w:sz w:val="32"/>
          <w:szCs w:val="32"/>
          <w14:textFill>
            <w14:solidFill>
              <w14:schemeClr w14:val="tx1"/>
            </w14:solidFill>
          </w14:textFill>
        </w:rPr>
        <w:t>在科研项目（机构）资助（投资）、科技成果处置及收益分配、科技企业投资孵化、人才招聘引进、薪酬制度设计等方面相应自主权。制定绩效考核评价指标和办法，减少日常考核，以</w:t>
      </w:r>
      <w:r>
        <w:rPr>
          <w:rFonts w:hint="eastAsia" w:ascii="方正仿宋_GBK" w:hAnsi="方正仿宋_GBK" w:eastAsia="方正仿宋_GBK" w:cs="方正仿宋_GBK"/>
          <w:color w:val="000000" w:themeColor="text1"/>
          <w:sz w:val="32"/>
          <w:szCs w:val="32"/>
          <w14:textFill>
            <w14:solidFill>
              <w14:schemeClr w14:val="tx1"/>
            </w14:solidFill>
          </w14:textFill>
        </w:rPr>
        <w:t>3</w:t>
      </w:r>
      <w:r>
        <w:rPr>
          <w:rFonts w:ascii="方正仿宋_GBK" w:hAnsi="方正仿宋_GBK" w:eastAsia="方正仿宋_GBK" w:cs="方正仿宋_GBK"/>
          <w:color w:val="000000" w:themeColor="text1"/>
          <w:sz w:val="32"/>
          <w:szCs w:val="32"/>
          <w14:textFill>
            <w14:solidFill>
              <w14:schemeClr w14:val="tx1"/>
            </w14:solidFill>
          </w14:textFill>
        </w:rPr>
        <w:t>年为周期，对</w:t>
      </w:r>
      <w:r>
        <w:rPr>
          <w:rFonts w:hint="eastAsia" w:ascii="方正仿宋_GBK" w:hAnsi="方正仿宋_GBK" w:eastAsia="方正仿宋_GBK" w:cs="方正仿宋_GBK"/>
          <w:color w:val="000000" w:themeColor="text1"/>
          <w:sz w:val="32"/>
          <w:szCs w:val="32"/>
          <w14:textFill>
            <w14:solidFill>
              <w14:schemeClr w14:val="tx1"/>
            </w14:solidFill>
          </w14:textFill>
        </w:rPr>
        <w:t>研究中心</w:t>
      </w:r>
      <w:r>
        <w:rPr>
          <w:rFonts w:ascii="方正仿宋_GBK" w:hAnsi="方正仿宋_GBK" w:eastAsia="方正仿宋_GBK" w:cs="方正仿宋_GBK"/>
          <w:color w:val="000000" w:themeColor="text1"/>
          <w:sz w:val="32"/>
          <w:szCs w:val="32"/>
          <w14:textFill>
            <w14:solidFill>
              <w14:schemeClr w14:val="tx1"/>
            </w14:solidFill>
          </w14:textFill>
        </w:rPr>
        <w:t>在科研和科技成果转化产业化</w:t>
      </w:r>
      <w:r>
        <w:rPr>
          <w:rFonts w:hint="eastAsia" w:ascii="方正仿宋_GBK" w:hAnsi="方正仿宋_GBK" w:eastAsia="方正仿宋_GBK" w:cs="方正仿宋_GBK"/>
          <w:color w:val="000000" w:themeColor="text1"/>
          <w:sz w:val="32"/>
          <w:szCs w:val="32"/>
          <w14:textFill>
            <w14:solidFill>
              <w14:schemeClr w14:val="tx1"/>
            </w14:solidFill>
          </w14:textFill>
        </w:rPr>
        <w:t>、人才培养</w:t>
      </w:r>
      <w:r>
        <w:rPr>
          <w:rFonts w:ascii="方正仿宋_GBK" w:hAnsi="方正仿宋_GBK" w:eastAsia="方正仿宋_GBK" w:cs="方正仿宋_GBK"/>
          <w:color w:val="000000" w:themeColor="text1"/>
          <w:sz w:val="32"/>
          <w:szCs w:val="32"/>
          <w14:textFill>
            <w14:solidFill>
              <w14:schemeClr w14:val="tx1"/>
            </w14:solidFill>
          </w14:textFill>
        </w:rPr>
        <w:t>方面绩效进行综合考评</w:t>
      </w:r>
      <w:r>
        <w:rPr>
          <w:rFonts w:hint="eastAsia" w:ascii="方正仿宋_GBK" w:hAnsi="方正仿宋_GBK" w:eastAsia="方正仿宋_GBK" w:cs="方正仿宋_GBK"/>
          <w:color w:val="000000" w:themeColor="text1"/>
          <w:sz w:val="32"/>
          <w:szCs w:val="32"/>
          <w14:textFill>
            <w14:solidFill>
              <w14:schemeClr w14:val="tx1"/>
            </w14:solidFill>
          </w14:textFill>
        </w:rPr>
        <w:t>，考核结果分为优秀、合格、基本合格、不合格。建立准入和退出机制，对考核优秀的加大扶持力度，对考核基本合格、不合格的分别给予警告、摘牌处理。</w:t>
      </w:r>
    </w:p>
    <w:sectPr>
      <w:footerReference r:id="rId3" w:type="default"/>
      <w:pgSz w:w="11906" w:h="16838"/>
      <w:pgMar w:top="2041" w:right="1531" w:bottom="1701" w:left="1531" w:header="851" w:footer="992"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11430" b="635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right="210" w:rightChars="100"/>
                            <w:jc w:val="right"/>
                            <w:rPr>
                              <w:rStyle w:val="15"/>
                              <w:rFonts w:ascii="宋体" w:hAnsi="宋体" w:eastAsia="宋体"/>
                              <w:sz w:val="28"/>
                              <w:szCs w:val="28"/>
                            </w:rPr>
                          </w:pPr>
                          <w:r>
                            <w:rPr>
                              <w:rStyle w:val="15"/>
                              <w:rFonts w:hint="eastAsia" w:ascii="宋体" w:hAnsi="宋体" w:eastAsia="宋体"/>
                              <w:sz w:val="28"/>
                              <w:szCs w:val="28"/>
                            </w:rPr>
                            <w:t xml:space="preserve">— </w:t>
                          </w:r>
                          <w:r>
                            <w:rPr>
                              <w:rStyle w:val="15"/>
                              <w:rFonts w:ascii="宋体" w:hAnsi="宋体" w:eastAsia="宋体"/>
                              <w:sz w:val="28"/>
                              <w:szCs w:val="28"/>
                            </w:rPr>
                            <w:fldChar w:fldCharType="begin"/>
                          </w:r>
                          <w:r>
                            <w:rPr>
                              <w:rStyle w:val="15"/>
                              <w:rFonts w:ascii="宋体" w:hAnsi="宋体" w:eastAsia="宋体"/>
                              <w:sz w:val="28"/>
                              <w:szCs w:val="28"/>
                            </w:rPr>
                            <w:instrText xml:space="preserve">PAGE  </w:instrText>
                          </w:r>
                          <w:r>
                            <w:rPr>
                              <w:rStyle w:val="15"/>
                              <w:rFonts w:ascii="宋体" w:hAnsi="宋体" w:eastAsia="宋体"/>
                              <w:sz w:val="28"/>
                              <w:szCs w:val="28"/>
                            </w:rPr>
                            <w:fldChar w:fldCharType="separate"/>
                          </w:r>
                          <w:r>
                            <w:rPr>
                              <w:rStyle w:val="15"/>
                              <w:rFonts w:ascii="宋体" w:hAnsi="宋体" w:eastAsia="宋体"/>
                              <w:sz w:val="28"/>
                              <w:szCs w:val="28"/>
                            </w:rPr>
                            <w:t>5</w:t>
                          </w:r>
                          <w:r>
                            <w:rPr>
                              <w:rStyle w:val="15"/>
                              <w:rFonts w:ascii="宋体" w:hAnsi="宋体" w:eastAsia="宋体"/>
                              <w:sz w:val="28"/>
                              <w:szCs w:val="28"/>
                            </w:rPr>
                            <w:fldChar w:fldCharType="end"/>
                          </w:r>
                          <w:r>
                            <w:rPr>
                              <w:rStyle w:val="15"/>
                              <w:rFonts w:hint="eastAsia" w:ascii="宋体" w:hAnsi="宋体" w:eastAsia="宋体"/>
                              <w:sz w:val="28"/>
                              <w:szCs w:val="28"/>
                            </w:rPr>
                            <w:t xml:space="preserve"> —</w:t>
                          </w:r>
                        </w:p>
                        <w:p>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6"/>
                      <w:ind w:right="210" w:rightChars="100"/>
                      <w:jc w:val="right"/>
                      <w:rPr>
                        <w:rStyle w:val="15"/>
                        <w:rFonts w:ascii="宋体" w:hAnsi="宋体" w:eastAsia="宋体"/>
                        <w:sz w:val="28"/>
                        <w:szCs w:val="28"/>
                      </w:rPr>
                    </w:pPr>
                    <w:r>
                      <w:rPr>
                        <w:rStyle w:val="15"/>
                        <w:rFonts w:hint="eastAsia" w:ascii="宋体" w:hAnsi="宋体" w:eastAsia="宋体"/>
                        <w:sz w:val="28"/>
                        <w:szCs w:val="28"/>
                      </w:rPr>
                      <w:t xml:space="preserve">— </w:t>
                    </w:r>
                    <w:r>
                      <w:rPr>
                        <w:rStyle w:val="15"/>
                        <w:rFonts w:ascii="宋体" w:hAnsi="宋体" w:eastAsia="宋体"/>
                        <w:sz w:val="28"/>
                        <w:szCs w:val="28"/>
                      </w:rPr>
                      <w:fldChar w:fldCharType="begin"/>
                    </w:r>
                    <w:r>
                      <w:rPr>
                        <w:rStyle w:val="15"/>
                        <w:rFonts w:ascii="宋体" w:hAnsi="宋体" w:eastAsia="宋体"/>
                        <w:sz w:val="28"/>
                        <w:szCs w:val="28"/>
                      </w:rPr>
                      <w:instrText xml:space="preserve">PAGE  </w:instrText>
                    </w:r>
                    <w:r>
                      <w:rPr>
                        <w:rStyle w:val="15"/>
                        <w:rFonts w:ascii="宋体" w:hAnsi="宋体" w:eastAsia="宋体"/>
                        <w:sz w:val="28"/>
                        <w:szCs w:val="28"/>
                      </w:rPr>
                      <w:fldChar w:fldCharType="separate"/>
                    </w:r>
                    <w:r>
                      <w:rPr>
                        <w:rStyle w:val="15"/>
                        <w:rFonts w:ascii="宋体" w:hAnsi="宋体" w:eastAsia="宋体"/>
                        <w:sz w:val="28"/>
                        <w:szCs w:val="28"/>
                      </w:rPr>
                      <w:t>5</w:t>
                    </w:r>
                    <w:r>
                      <w:rPr>
                        <w:rStyle w:val="15"/>
                        <w:rFonts w:ascii="宋体" w:hAnsi="宋体" w:eastAsia="宋体"/>
                        <w:sz w:val="28"/>
                        <w:szCs w:val="28"/>
                      </w:rPr>
                      <w:fldChar w:fldCharType="end"/>
                    </w:r>
                    <w:r>
                      <w:rPr>
                        <w:rStyle w:val="15"/>
                        <w:rFonts w:hint="eastAsia" w:ascii="宋体" w:hAnsi="宋体" w:eastAsia="宋体"/>
                        <w:sz w:val="28"/>
                        <w:szCs w:val="28"/>
                      </w:rPr>
                      <w:t xml:space="preserve"> —</w:t>
                    </w:r>
                  </w:p>
                  <w:p>
                    <w:pPr>
                      <w:pStyle w:val="6"/>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95440E"/>
    <w:multiLevelType w:val="singleLevel"/>
    <w:tmpl w:val="B795440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C0"/>
    <w:rsid w:val="0006053B"/>
    <w:rsid w:val="000A0CEE"/>
    <w:rsid w:val="00127E98"/>
    <w:rsid w:val="00265D56"/>
    <w:rsid w:val="002A63C1"/>
    <w:rsid w:val="002D5CE8"/>
    <w:rsid w:val="003A2398"/>
    <w:rsid w:val="00425ECF"/>
    <w:rsid w:val="0047168E"/>
    <w:rsid w:val="00524723"/>
    <w:rsid w:val="0053091B"/>
    <w:rsid w:val="00552279"/>
    <w:rsid w:val="005A1339"/>
    <w:rsid w:val="006357F7"/>
    <w:rsid w:val="00642FD3"/>
    <w:rsid w:val="00726AF4"/>
    <w:rsid w:val="00747A0A"/>
    <w:rsid w:val="007710AA"/>
    <w:rsid w:val="007830B2"/>
    <w:rsid w:val="007A3F3C"/>
    <w:rsid w:val="007F4E81"/>
    <w:rsid w:val="00806A13"/>
    <w:rsid w:val="00817680"/>
    <w:rsid w:val="008D0DE2"/>
    <w:rsid w:val="008E1EBF"/>
    <w:rsid w:val="008F4BD9"/>
    <w:rsid w:val="0095047C"/>
    <w:rsid w:val="0098645B"/>
    <w:rsid w:val="00B339C0"/>
    <w:rsid w:val="00B8092B"/>
    <w:rsid w:val="00BE5D13"/>
    <w:rsid w:val="00C368FE"/>
    <w:rsid w:val="00D23583"/>
    <w:rsid w:val="00D27C00"/>
    <w:rsid w:val="00D3632D"/>
    <w:rsid w:val="00DC3524"/>
    <w:rsid w:val="00DE6CAA"/>
    <w:rsid w:val="00E31BB7"/>
    <w:rsid w:val="00EC618C"/>
    <w:rsid w:val="00F02BC6"/>
    <w:rsid w:val="01A23385"/>
    <w:rsid w:val="050F5A9E"/>
    <w:rsid w:val="06253675"/>
    <w:rsid w:val="06D562E4"/>
    <w:rsid w:val="07207CAA"/>
    <w:rsid w:val="094869F0"/>
    <w:rsid w:val="09D121AD"/>
    <w:rsid w:val="0A357AAF"/>
    <w:rsid w:val="0EAA7B5A"/>
    <w:rsid w:val="0FED52F7"/>
    <w:rsid w:val="10737831"/>
    <w:rsid w:val="10FB22CC"/>
    <w:rsid w:val="11AF2ADC"/>
    <w:rsid w:val="128D6807"/>
    <w:rsid w:val="142A6F50"/>
    <w:rsid w:val="15EF25CD"/>
    <w:rsid w:val="16564649"/>
    <w:rsid w:val="17CF3624"/>
    <w:rsid w:val="180040C2"/>
    <w:rsid w:val="18C52039"/>
    <w:rsid w:val="18DF59AA"/>
    <w:rsid w:val="192B2D9C"/>
    <w:rsid w:val="19CC3BFA"/>
    <w:rsid w:val="19D579E2"/>
    <w:rsid w:val="1CDC3EAA"/>
    <w:rsid w:val="1DAC36AE"/>
    <w:rsid w:val="1DC740E2"/>
    <w:rsid w:val="1DE1117C"/>
    <w:rsid w:val="1EAF3C54"/>
    <w:rsid w:val="1F401EDF"/>
    <w:rsid w:val="210A21B7"/>
    <w:rsid w:val="23DF9E8C"/>
    <w:rsid w:val="24F610D0"/>
    <w:rsid w:val="24FC407C"/>
    <w:rsid w:val="25AE605D"/>
    <w:rsid w:val="26733175"/>
    <w:rsid w:val="280C3E25"/>
    <w:rsid w:val="29187B46"/>
    <w:rsid w:val="29513670"/>
    <w:rsid w:val="29ED7672"/>
    <w:rsid w:val="2C5A5DC3"/>
    <w:rsid w:val="2C8D2E16"/>
    <w:rsid w:val="2CE073E0"/>
    <w:rsid w:val="2DA99B4E"/>
    <w:rsid w:val="2DCB2324"/>
    <w:rsid w:val="30A55636"/>
    <w:rsid w:val="312D22B7"/>
    <w:rsid w:val="37845D2F"/>
    <w:rsid w:val="37E41059"/>
    <w:rsid w:val="38015338"/>
    <w:rsid w:val="38AA174D"/>
    <w:rsid w:val="38C326A7"/>
    <w:rsid w:val="39295D67"/>
    <w:rsid w:val="3A1614E4"/>
    <w:rsid w:val="3A58DBEF"/>
    <w:rsid w:val="3B0D7958"/>
    <w:rsid w:val="3B2C2BC5"/>
    <w:rsid w:val="3DEF1029"/>
    <w:rsid w:val="40CF4450"/>
    <w:rsid w:val="42E857AF"/>
    <w:rsid w:val="433F56FA"/>
    <w:rsid w:val="43FB255C"/>
    <w:rsid w:val="448D5D69"/>
    <w:rsid w:val="44D629A7"/>
    <w:rsid w:val="44DF4F2A"/>
    <w:rsid w:val="45646066"/>
    <w:rsid w:val="45992F56"/>
    <w:rsid w:val="45F4183D"/>
    <w:rsid w:val="46EA72C8"/>
    <w:rsid w:val="476FDA8F"/>
    <w:rsid w:val="487D3CAB"/>
    <w:rsid w:val="48DA7440"/>
    <w:rsid w:val="49837922"/>
    <w:rsid w:val="49ED5C81"/>
    <w:rsid w:val="4A830D9C"/>
    <w:rsid w:val="4AF6044F"/>
    <w:rsid w:val="4AFE9BAE"/>
    <w:rsid w:val="4B530FFA"/>
    <w:rsid w:val="4B59453F"/>
    <w:rsid w:val="4BAE3D55"/>
    <w:rsid w:val="4BCA15EA"/>
    <w:rsid w:val="4BFE2691"/>
    <w:rsid w:val="4C536801"/>
    <w:rsid w:val="4F767F7E"/>
    <w:rsid w:val="4FFFB282"/>
    <w:rsid w:val="506B31A6"/>
    <w:rsid w:val="50EC7DCF"/>
    <w:rsid w:val="530F22E9"/>
    <w:rsid w:val="54E55DC0"/>
    <w:rsid w:val="57524330"/>
    <w:rsid w:val="5A832C1B"/>
    <w:rsid w:val="5BA34AF2"/>
    <w:rsid w:val="5D4B4B7D"/>
    <w:rsid w:val="5D7FB157"/>
    <w:rsid w:val="5EE7A405"/>
    <w:rsid w:val="5F8E423A"/>
    <w:rsid w:val="5FC511D1"/>
    <w:rsid w:val="5FFE6F95"/>
    <w:rsid w:val="60DC24AD"/>
    <w:rsid w:val="618348A2"/>
    <w:rsid w:val="6379345D"/>
    <w:rsid w:val="63A13607"/>
    <w:rsid w:val="65E90993"/>
    <w:rsid w:val="6A026DA2"/>
    <w:rsid w:val="6A121E67"/>
    <w:rsid w:val="6A5F865A"/>
    <w:rsid w:val="6A686468"/>
    <w:rsid w:val="6A78662E"/>
    <w:rsid w:val="6B6403F9"/>
    <w:rsid w:val="6CEF7B31"/>
    <w:rsid w:val="6DFFB65C"/>
    <w:rsid w:val="6E897B5B"/>
    <w:rsid w:val="6F8B55C0"/>
    <w:rsid w:val="70006DB1"/>
    <w:rsid w:val="70331912"/>
    <w:rsid w:val="70C70F1A"/>
    <w:rsid w:val="70EE6897"/>
    <w:rsid w:val="712B2C2E"/>
    <w:rsid w:val="713766A4"/>
    <w:rsid w:val="729F113E"/>
    <w:rsid w:val="73E3A545"/>
    <w:rsid w:val="74AA4F64"/>
    <w:rsid w:val="755B4C78"/>
    <w:rsid w:val="770D0235"/>
    <w:rsid w:val="77516F47"/>
    <w:rsid w:val="77535E18"/>
    <w:rsid w:val="77FFE2E3"/>
    <w:rsid w:val="7ACBF818"/>
    <w:rsid w:val="7AF2657B"/>
    <w:rsid w:val="7AFDEB11"/>
    <w:rsid w:val="7C6B4CEC"/>
    <w:rsid w:val="7C824810"/>
    <w:rsid w:val="7CFB87E2"/>
    <w:rsid w:val="7DBFCA0D"/>
    <w:rsid w:val="7DDE01BF"/>
    <w:rsid w:val="7DDE89BE"/>
    <w:rsid w:val="7DE22E59"/>
    <w:rsid w:val="7DEF47A4"/>
    <w:rsid w:val="7DFEE92F"/>
    <w:rsid w:val="7FBFF1D6"/>
    <w:rsid w:val="7FC22678"/>
    <w:rsid w:val="7FFBF6E9"/>
    <w:rsid w:val="7FFF9E3B"/>
    <w:rsid w:val="9FD30E51"/>
    <w:rsid w:val="9FF2D8BE"/>
    <w:rsid w:val="AB3FDC92"/>
    <w:rsid w:val="ADF29884"/>
    <w:rsid w:val="BA3F41CF"/>
    <w:rsid w:val="BB771A31"/>
    <w:rsid w:val="BBB9E470"/>
    <w:rsid w:val="C02E80CB"/>
    <w:rsid w:val="CBCFF06C"/>
    <w:rsid w:val="CF9B52AF"/>
    <w:rsid w:val="DE9DDEA9"/>
    <w:rsid w:val="DF9FC861"/>
    <w:rsid w:val="DFE56D6B"/>
    <w:rsid w:val="DFFFB4CF"/>
    <w:rsid w:val="E5DD6845"/>
    <w:rsid w:val="E9FF6A04"/>
    <w:rsid w:val="EACE3D6C"/>
    <w:rsid w:val="EFFA75FC"/>
    <w:rsid w:val="F6FE4199"/>
    <w:rsid w:val="F71DA4A6"/>
    <w:rsid w:val="F7E17CAC"/>
    <w:rsid w:val="FD7BC73E"/>
    <w:rsid w:val="FD7EAF3C"/>
    <w:rsid w:val="FD8F8553"/>
    <w:rsid w:val="FEF138A4"/>
    <w:rsid w:val="FF3BFF1E"/>
    <w:rsid w:val="FF3FCBBE"/>
    <w:rsid w:val="FFB75D15"/>
    <w:rsid w:val="FFBFCC8F"/>
    <w:rsid w:val="FFD61E3F"/>
    <w:rsid w:val="FFDC3599"/>
    <w:rsid w:val="FFDD2706"/>
    <w:rsid w:val="FFDF6512"/>
    <w:rsid w:val="FFDF8854"/>
    <w:rsid w:val="FFE35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qFormat/>
    <w:uiPriority w:val="0"/>
    <w:pPr>
      <w:spacing w:line="580" w:lineRule="exact"/>
      <w:ind w:firstLine="600" w:firstLineChars="200"/>
    </w:pPr>
    <w:rPr>
      <w:rFonts w:ascii="Times" w:hAnsi="Times" w:eastAsia="方正仿宋_GBK" w:cs="Times New Roman"/>
      <w:sz w:val="30"/>
    </w:rPr>
  </w:style>
  <w:style w:type="paragraph" w:styleId="5">
    <w:name w:val="Body Text Indent 2"/>
    <w:basedOn w:val="1"/>
    <w:next w:val="1"/>
    <w:qFormat/>
    <w:uiPriority w:val="0"/>
    <w:pPr>
      <w:spacing w:after="120" w:line="480" w:lineRule="auto"/>
      <w:ind w:left="420" w:leftChars="200"/>
    </w:pPr>
  </w:style>
  <w:style w:type="paragraph" w:styleId="6">
    <w:name w:val="footer"/>
    <w:basedOn w:val="1"/>
    <w:link w:val="17"/>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basedOn w:val="1"/>
    <w:next w:val="1"/>
    <w:qFormat/>
    <w:uiPriority w:val="10"/>
    <w:pPr>
      <w:spacing w:before="240" w:after="60"/>
      <w:jc w:val="center"/>
      <w:outlineLvl w:val="0"/>
    </w:pPr>
    <w:rPr>
      <w:rFonts w:ascii="Cambria" w:hAnsi="Cambria" w:cs="Times New Roman"/>
      <w:b/>
      <w:bCs/>
      <w:sz w:val="32"/>
      <w:szCs w:val="32"/>
    </w:rPr>
  </w:style>
  <w:style w:type="paragraph" w:styleId="10">
    <w:name w:val="Body Text First Indent 2"/>
    <w:basedOn w:val="4"/>
    <w:qFormat/>
    <w:uiPriority w:val="0"/>
    <w:pPr>
      <w:spacing w:after="160" w:line="259" w:lineRule="auto"/>
      <w:ind w:firstLine="420"/>
      <w:textAlignment w:val="baseline"/>
    </w:pPr>
    <w:rPr>
      <w:rFonts w:ascii="宋体" w:hAnsi="宋体" w:eastAsia="宋体"/>
      <w:sz w:val="28"/>
      <w:szCs w:val="32"/>
    </w:rPr>
  </w:style>
  <w:style w:type="table" w:styleId="12">
    <w:name w:val="Table Grid"/>
    <w:basedOn w:val="1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Strong"/>
    <w:basedOn w:val="13"/>
    <w:qFormat/>
    <w:uiPriority w:val="0"/>
    <w:rPr>
      <w:b/>
    </w:rPr>
  </w:style>
  <w:style w:type="character" w:styleId="15">
    <w:name w:val="page number"/>
    <w:qFormat/>
    <w:uiPriority w:val="0"/>
  </w:style>
  <w:style w:type="character" w:customStyle="1" w:styleId="16">
    <w:name w:val="NormalCharacter"/>
    <w:qFormat/>
    <w:uiPriority w:val="0"/>
    <w:rPr>
      <w:rFonts w:ascii="Times New Roman" w:hAnsi="Times New Roman" w:eastAsia="方正仿宋_GBK" w:cs="Times New Roman"/>
      <w:kern w:val="2"/>
      <w:sz w:val="32"/>
      <w:szCs w:val="24"/>
      <w:lang w:val="en-US" w:eastAsia="zh-CN" w:bidi="ar-SA"/>
    </w:rPr>
  </w:style>
  <w:style w:type="character" w:customStyle="1" w:styleId="17">
    <w:name w:val="页脚 字符"/>
    <w:link w:val="6"/>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E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562</Words>
  <Characters>3210</Characters>
  <Lines>26</Lines>
  <Paragraphs>7</Paragraphs>
  <TotalTime>13</TotalTime>
  <ScaleCrop>false</ScaleCrop>
  <LinksUpToDate>false</LinksUpToDate>
  <CharactersWithSpaces>3765</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liwengong</dc:creator>
  <cp:lastModifiedBy>李灿</cp:lastModifiedBy>
  <cp:lastPrinted>2021-12-01T08:09:00Z</cp:lastPrinted>
  <dcterms:modified xsi:type="dcterms:W3CDTF">2022-06-08T08:32:28Z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