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92B9A">
      <w:pPr>
        <w:ind w:firstLine="0" w:firstLineChars="0"/>
        <w:rPr>
          <w:rFonts w:ascii="Times New Roman" w:hAnsi="Times New Roman" w:eastAsia="黑体" w:cs="Times New Roman"/>
          <w:color w:val="auto"/>
        </w:rPr>
      </w:pPr>
      <w:bookmarkStart w:id="0" w:name="_GoBack"/>
      <w:bookmarkEnd w:id="0"/>
    </w:p>
    <w:p w14:paraId="29BA7436">
      <w:pPr>
        <w:ind w:firstLine="0" w:firstLineChars="0"/>
        <w:rPr>
          <w:rFonts w:ascii="Times New Roman" w:hAnsi="Times New Roman" w:eastAsia="黑体" w:cs="Times New Roman"/>
          <w:color w:val="auto"/>
        </w:rPr>
      </w:pPr>
    </w:p>
    <w:p w14:paraId="7108F71C">
      <w:pPr>
        <w:spacing w:line="6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  <w:t>2026年国家社会科学基金教育学重大项目</w:t>
      </w:r>
    </w:p>
    <w:p w14:paraId="7FFCCF8D">
      <w:pPr>
        <w:spacing w:line="6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  <w:t>选题指南</w:t>
      </w:r>
    </w:p>
    <w:p w14:paraId="20B34119">
      <w:pPr>
        <w:ind w:firstLine="0" w:firstLineChars="0"/>
        <w:rPr>
          <w:color w:val="auto"/>
        </w:rPr>
      </w:pPr>
    </w:p>
    <w:p w14:paraId="17D50CB7">
      <w:pPr>
        <w:ind w:firstLine="640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本年度国家社会科学基金教育学重大项目总体上延续“命题作文”方式，提供指南及其意图。申请者也可自选题目申报。鼓励多学科、跨学科合作申报。评审采取招标答辩方式，优中选优，宁缺毋滥。重大项目应用性研究一般应在2-3年完成，基础性研究最长不得超过5年。</w:t>
      </w:r>
    </w:p>
    <w:p w14:paraId="63557789">
      <w:pPr>
        <w:ind w:firstLine="0" w:firstLineChars="0"/>
        <w:rPr>
          <w:rFonts w:hint="eastAsia" w:ascii="仿宋_GB2312" w:hAnsi="仿宋_GB2312" w:eastAsia="仿宋_GB2312" w:cs="仿宋_GB2312"/>
          <w:color w:val="auto"/>
        </w:rPr>
      </w:pPr>
    </w:p>
    <w:p w14:paraId="60D79F4E">
      <w:pPr>
        <w:numPr>
          <w:ilvl w:val="0"/>
          <w:numId w:val="1"/>
        </w:numPr>
        <w:spacing w:line="600" w:lineRule="exact"/>
        <w:ind w:left="-3" w:firstLine="643" w:firstLineChars="0"/>
        <w:rPr>
          <w:rFonts w:hint="eastAsia" w:ascii="仿宋_GB2312" w:hAnsi="仿宋_GB2312" w:eastAsia="仿宋_GB2312" w:cs="仿宋_GB2312"/>
          <w:b/>
          <w:bCs/>
          <w:color w:val="auto"/>
        </w:rPr>
      </w:pPr>
      <w:r>
        <w:rPr>
          <w:rFonts w:hint="eastAsia" w:ascii="仿宋_GB2312" w:hAnsi="仿宋_GB2312" w:eastAsia="仿宋_GB2312" w:cs="仿宋_GB2312"/>
          <w:b/>
          <w:bCs/>
          <w:color w:val="auto"/>
        </w:rPr>
        <w:t>教育强国建设监测评价研究</w:t>
      </w:r>
    </w:p>
    <w:p w14:paraId="4B0759B0">
      <w:pPr>
        <w:spacing w:line="600" w:lineRule="exact"/>
        <w:ind w:firstLine="640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方正楷体_GB2312" w:hAnsi="方正楷体_GB2312" w:eastAsia="方正楷体_GB2312" w:cs="方正楷体_GB2312"/>
          <w:color w:val="auto"/>
        </w:rPr>
        <w:t>指南意图：</w:t>
      </w:r>
      <w:r>
        <w:rPr>
          <w:rFonts w:hint="eastAsia" w:ascii="仿宋_GB2312" w:hAnsi="仿宋_GB2312" w:eastAsia="仿宋_GB2312" w:cs="仿宋_GB2312"/>
          <w:color w:val="auto"/>
        </w:rPr>
        <w:t>（1）建构监测的指标体系；（2）研发核心数据整合分析技术；（3）挖掘各地各校实践探索典型经验；（4）形成监测评价报告。</w:t>
      </w:r>
    </w:p>
    <w:p w14:paraId="7408936B">
      <w:pPr>
        <w:spacing w:line="600" w:lineRule="exact"/>
        <w:ind w:firstLine="0" w:firstLineChars="0"/>
        <w:rPr>
          <w:rFonts w:hint="eastAsia" w:ascii="仿宋_GB2312" w:hAnsi="仿宋_GB2312" w:eastAsia="仿宋_GB2312" w:cs="仿宋_GB2312"/>
          <w:b/>
          <w:bCs/>
          <w:color w:val="auto"/>
        </w:rPr>
      </w:pPr>
    </w:p>
    <w:p w14:paraId="7E2E2413">
      <w:pPr>
        <w:numPr>
          <w:ilvl w:val="0"/>
          <w:numId w:val="1"/>
        </w:numPr>
        <w:ind w:left="-3" w:firstLine="643" w:firstLineChars="0"/>
        <w:rPr>
          <w:rFonts w:ascii="Times New Roman" w:hAnsi="Times New Roman" w:cs="Times New Roman"/>
          <w:b/>
          <w:bCs/>
          <w:color w:val="auto"/>
        </w:rPr>
      </w:pPr>
      <w:r>
        <w:rPr>
          <w:rFonts w:hint="eastAsia" w:ascii="Times New Roman" w:hAnsi="Times New Roman" w:cs="Times New Roman"/>
          <w:b/>
          <w:bCs/>
          <w:color w:val="auto"/>
        </w:rPr>
        <w:t>新时代教育公平研究</w:t>
      </w:r>
    </w:p>
    <w:p w14:paraId="242B84DF">
      <w:pPr>
        <w:ind w:firstLine="320" w:firstLineChars="100"/>
        <w:rPr>
          <w:rFonts w:hint="eastAsia" w:ascii="仿宋_GB2312" w:hAnsi="仿宋_GB2312" w:eastAsia="仿宋_GB2312" w:cs="仿宋_GB2312"/>
          <w:b/>
          <w:bCs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</w:t>
      </w:r>
      <w:r>
        <w:rPr>
          <w:rFonts w:hint="eastAsia" w:ascii="方正楷体_GB2312" w:hAnsi="方正楷体_GB2312" w:eastAsia="方正楷体_GB2312" w:cs="方正楷体_GB2312"/>
          <w:color w:val="auto"/>
        </w:rPr>
        <w:t>指南意图：</w:t>
      </w:r>
      <w:r>
        <w:rPr>
          <w:rFonts w:hint="eastAsia" w:ascii="仿宋_GB2312" w:hAnsi="仿宋_GB2312" w:eastAsia="仿宋_GB2312" w:cs="仿宋_GB2312"/>
          <w:color w:val="auto"/>
        </w:rPr>
        <w:t>（1）研究教育促进社会纵向流动现状；（2）大规模调查社会公众对教育公平的诉求，形成教育公平问题社会认知报告；（3）提出新时代促进不同学段教育公平的新举措；（4）研究教育扩大中等收入群体具体办法；（5）建构新时代我国教育公平自主知识体系。</w:t>
      </w:r>
    </w:p>
    <w:p w14:paraId="080C71F3">
      <w:pPr>
        <w:numPr>
          <w:ilvl w:val="0"/>
          <w:numId w:val="1"/>
        </w:numPr>
        <w:spacing w:line="600" w:lineRule="exact"/>
        <w:ind w:left="-3" w:firstLine="643" w:firstLineChars="0"/>
        <w:rPr>
          <w:rFonts w:hint="eastAsia" w:ascii="仿宋_GB2312" w:hAnsi="仿宋_GB2312" w:eastAsia="仿宋_GB2312" w:cs="仿宋_GB2312"/>
          <w:b/>
          <w:bCs/>
          <w:color w:val="auto"/>
        </w:rPr>
      </w:pPr>
      <w:r>
        <w:rPr>
          <w:rFonts w:hint="eastAsia" w:ascii="仿宋_GB2312" w:hAnsi="仿宋_GB2312" w:eastAsia="仿宋_GB2312" w:cs="仿宋_GB2312"/>
          <w:b/>
          <w:bCs/>
          <w:color w:val="auto"/>
        </w:rPr>
        <w:t>大中小学思政</w:t>
      </w:r>
      <w:r>
        <w:rPr>
          <w:rFonts w:hint="eastAsia" w:ascii="仿宋_GB2312" w:hAnsi="仿宋_GB2312" w:eastAsia="仿宋_GB2312" w:cs="仿宋_GB2312"/>
          <w:b/>
          <w:bCs/>
          <w:color w:val="auto"/>
          <w:lang w:val="en-US" w:eastAsia="zh-CN"/>
        </w:rPr>
        <w:t>教育</w:t>
      </w:r>
      <w:r>
        <w:rPr>
          <w:rFonts w:hint="eastAsia" w:ascii="仿宋_GB2312" w:hAnsi="仿宋_GB2312" w:eastAsia="仿宋_GB2312" w:cs="仿宋_GB2312"/>
          <w:b/>
          <w:bCs/>
          <w:color w:val="auto"/>
        </w:rPr>
        <w:t>一体化方法与路径研究</w:t>
      </w:r>
    </w:p>
    <w:p w14:paraId="607C3757">
      <w:pPr>
        <w:spacing w:line="600" w:lineRule="exact"/>
        <w:ind w:firstLine="640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方正楷体_GB2312" w:hAnsi="方正楷体_GB2312" w:eastAsia="方正楷体_GB2312" w:cs="方正楷体_GB2312"/>
          <w:color w:val="auto"/>
        </w:rPr>
        <w:t>指南意图：</w:t>
      </w:r>
      <w:r>
        <w:rPr>
          <w:rFonts w:hint="eastAsia" w:ascii="仿宋_GB2312" w:hAnsi="仿宋_GB2312" w:eastAsia="仿宋_GB2312" w:cs="仿宋_GB2312"/>
          <w:color w:val="auto"/>
        </w:rPr>
        <w:t>（1）研制一体化视域下的教学目标分级标准；（2）探索跨学段集体备课与协同教研机制；（3）建立一体化教学资源；（4）提炼区域整体推进一体化的典型模式。</w:t>
      </w:r>
    </w:p>
    <w:p w14:paraId="1863EA10">
      <w:pPr>
        <w:spacing w:line="600" w:lineRule="exact"/>
        <w:ind w:firstLine="640"/>
        <w:rPr>
          <w:rFonts w:hint="eastAsia" w:ascii="仿宋_GB2312" w:hAnsi="仿宋_GB2312" w:eastAsia="仿宋_GB2312" w:cs="仿宋_GB2312"/>
          <w:color w:val="auto"/>
        </w:rPr>
      </w:pPr>
    </w:p>
    <w:p w14:paraId="4C17190A">
      <w:pPr>
        <w:numPr>
          <w:ilvl w:val="0"/>
          <w:numId w:val="1"/>
        </w:numPr>
        <w:spacing w:line="600" w:lineRule="exact"/>
        <w:ind w:left="-3" w:firstLine="643" w:firstLineChars="0"/>
        <w:rPr>
          <w:rFonts w:hint="eastAsia" w:ascii="仿宋_GB2312" w:hAnsi="仿宋_GB2312" w:eastAsia="仿宋_GB2312" w:cs="仿宋_GB2312"/>
          <w:b/>
          <w:bCs/>
          <w:color w:val="auto"/>
        </w:rPr>
      </w:pPr>
      <w:r>
        <w:rPr>
          <w:rFonts w:hint="eastAsia" w:ascii="仿宋_GB2312" w:hAnsi="仿宋_GB2312" w:eastAsia="仿宋_GB2312" w:cs="仿宋_GB2312"/>
          <w:b/>
          <w:bCs/>
          <w:color w:val="auto"/>
        </w:rPr>
        <w:t>大中小学生学情调查研究</w:t>
      </w:r>
    </w:p>
    <w:p w14:paraId="2D287B70">
      <w:pPr>
        <w:spacing w:line="600" w:lineRule="exact"/>
        <w:ind w:firstLine="640"/>
        <w:rPr>
          <w:rFonts w:hint="eastAsia" w:ascii="仿宋_GB2312" w:hAnsi="仿宋_GB2312" w:eastAsia="仿宋_GB2312" w:cs="仿宋_GB2312"/>
          <w:b/>
          <w:bCs/>
          <w:color w:val="auto"/>
        </w:rPr>
      </w:pPr>
      <w:r>
        <w:rPr>
          <w:rFonts w:hint="eastAsia" w:ascii="方正楷体_GB2312" w:hAnsi="方正楷体_GB2312" w:eastAsia="方正楷体_GB2312" w:cs="方正楷体_GB2312"/>
          <w:color w:val="auto"/>
        </w:rPr>
        <w:t>指南意图：</w:t>
      </w:r>
      <w:r>
        <w:rPr>
          <w:rFonts w:hint="eastAsia" w:ascii="仿宋_GB2312" w:hAnsi="仿宋_GB2312" w:eastAsia="仿宋_GB2312" w:cs="仿宋_GB2312"/>
          <w:color w:val="auto"/>
        </w:rPr>
        <w:t>（1）构建大中小学生学情监测多维评价指标体系；（2）开展全国性、跨学段的大中小学生学情大规模实证调研并建立动态基础数据库；（3）厘清学生厌学、学习动力不足及失学风险等异化学情的现状与成因；（4）绘制学生典型学情画像，开发学情风险早期预警智能系统；（5）针对异化学情群体提出分类分级的精准干预策略。</w:t>
      </w:r>
    </w:p>
    <w:p w14:paraId="05143342">
      <w:pPr>
        <w:ind w:firstLine="640"/>
        <w:rPr>
          <w:rFonts w:hint="eastAsia" w:ascii="仿宋_GB2312" w:hAnsi="仿宋_GB2312" w:eastAsia="仿宋_GB2312" w:cs="仿宋_GB2312"/>
          <w:color w:val="auto"/>
        </w:rPr>
      </w:pPr>
    </w:p>
    <w:p w14:paraId="72FF2DF6">
      <w:pPr>
        <w:numPr>
          <w:ilvl w:val="0"/>
          <w:numId w:val="1"/>
        </w:numPr>
        <w:ind w:left="-3" w:firstLine="643" w:firstLineChars="0"/>
        <w:rPr>
          <w:rFonts w:hint="eastAsia" w:ascii="仿宋_GB2312" w:hAnsi="仿宋_GB2312" w:eastAsia="仿宋_GB2312" w:cs="仿宋_GB2312"/>
          <w:b/>
          <w:bCs/>
          <w:color w:val="auto"/>
        </w:rPr>
      </w:pPr>
      <w:r>
        <w:rPr>
          <w:rFonts w:hint="eastAsia" w:ascii="仿宋_GB2312" w:hAnsi="仿宋_GB2312" w:eastAsia="仿宋_GB2312" w:cs="仿宋_GB2312"/>
          <w:b/>
          <w:bCs/>
          <w:color w:val="auto"/>
        </w:rPr>
        <w:t>学生核心素养发展状况监测评价研究</w:t>
      </w:r>
    </w:p>
    <w:p w14:paraId="42931F0B">
      <w:pPr>
        <w:ind w:firstLine="640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方正楷体_GB2312" w:hAnsi="方正楷体_GB2312" w:eastAsia="方正楷体_GB2312" w:cs="方正楷体_GB2312"/>
          <w:color w:val="auto"/>
        </w:rPr>
        <w:t>指南意图：</w:t>
      </w:r>
      <w:r>
        <w:rPr>
          <w:rFonts w:hint="eastAsia" w:ascii="仿宋_GB2312" w:hAnsi="仿宋_GB2312" w:eastAsia="仿宋_GB2312" w:cs="仿宋_GB2312"/>
          <w:color w:val="auto"/>
        </w:rPr>
        <w:t>（1）研究素养与知识、能力的关系；（2）提出核心素养分水平划分标准；（3）建立核心素养发展状况监测工具开发模型；（4）建构学生核心素养发展状况的监测指标体系；（5）形成监测结果报告。</w:t>
      </w:r>
    </w:p>
    <w:p w14:paraId="211AB965">
      <w:pPr>
        <w:ind w:firstLine="640"/>
        <w:rPr>
          <w:rFonts w:hint="eastAsia" w:ascii="仿宋_GB2312" w:hAnsi="仿宋_GB2312" w:eastAsia="仿宋_GB2312" w:cs="仿宋_GB2312"/>
          <w:color w:val="auto"/>
        </w:rPr>
      </w:pPr>
    </w:p>
    <w:p w14:paraId="19472DB6">
      <w:pPr>
        <w:numPr>
          <w:ilvl w:val="0"/>
          <w:numId w:val="1"/>
        </w:numPr>
        <w:ind w:left="-3" w:firstLine="643" w:firstLineChars="0"/>
        <w:rPr>
          <w:rFonts w:hint="eastAsia" w:ascii="仿宋_GB2312" w:hAnsi="仿宋_GB2312" w:eastAsia="仿宋_GB2312" w:cs="仿宋_GB2312"/>
          <w:b/>
          <w:bCs/>
          <w:color w:val="auto"/>
        </w:rPr>
      </w:pPr>
      <w:r>
        <w:rPr>
          <w:rFonts w:hint="eastAsia" w:ascii="仿宋_GB2312" w:hAnsi="仿宋_GB2312" w:eastAsia="仿宋_GB2312" w:cs="仿宋_GB2312"/>
          <w:b/>
          <w:bCs/>
          <w:color w:val="auto"/>
        </w:rPr>
        <w:t>延长义务教育年限政策保障研究</w:t>
      </w:r>
    </w:p>
    <w:p w14:paraId="5AB166AC">
      <w:pPr>
        <w:ind w:firstLine="640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方正楷体_GB2312" w:hAnsi="方正楷体_GB2312" w:eastAsia="方正楷体_GB2312" w:cs="方正楷体_GB2312"/>
          <w:color w:val="auto"/>
        </w:rPr>
        <w:t>指南意图：</w:t>
      </w:r>
      <w:r>
        <w:rPr>
          <w:rFonts w:hint="eastAsia" w:ascii="仿宋_GB2312" w:hAnsi="仿宋_GB2312" w:eastAsia="仿宋_GB2312" w:cs="仿宋_GB2312"/>
          <w:color w:val="auto"/>
        </w:rPr>
        <w:t>（1）研究延长义务教育年限法治保障；（2）研究延长义务教育年限学校建设标准政策保障；（3）研究延长义务教育年限教师政策保障；（4）研究延长义务教育年限课程教材教学政策保障；（5）研究延长义务教育年限考试评价政策保障；（6）研究延长义务教育年限投入保障。</w:t>
      </w:r>
    </w:p>
    <w:p w14:paraId="62BCC03B">
      <w:pPr>
        <w:ind w:left="640" w:leftChars="200" w:firstLine="0" w:firstLineChars="0"/>
        <w:rPr>
          <w:rFonts w:hint="eastAsia" w:ascii="仿宋_GB2312" w:hAnsi="仿宋_GB2312" w:eastAsia="仿宋_GB2312" w:cs="仿宋_GB2312"/>
          <w:b/>
          <w:bCs/>
          <w:color w:val="auto"/>
        </w:rPr>
      </w:pPr>
    </w:p>
    <w:p w14:paraId="55885876">
      <w:pPr>
        <w:numPr>
          <w:ilvl w:val="0"/>
          <w:numId w:val="1"/>
        </w:numPr>
        <w:ind w:left="-3" w:firstLine="643" w:firstLineChars="0"/>
        <w:rPr>
          <w:rFonts w:hint="eastAsia" w:ascii="仿宋_GB2312" w:hAnsi="仿宋_GB2312" w:eastAsia="仿宋_GB2312" w:cs="仿宋_GB2312"/>
          <w:b/>
          <w:bCs/>
          <w:color w:val="auto"/>
        </w:rPr>
      </w:pPr>
      <w:r>
        <w:rPr>
          <w:rFonts w:hint="eastAsia" w:ascii="仿宋_GB2312" w:hAnsi="仿宋_GB2312" w:eastAsia="仿宋_GB2312" w:cs="仿宋_GB2312"/>
          <w:b/>
          <w:bCs/>
          <w:color w:val="auto"/>
        </w:rPr>
        <w:t>适应学生发展和社会发展的基础教育学制改革研究</w:t>
      </w:r>
    </w:p>
    <w:p w14:paraId="7DDD81D6">
      <w:pPr>
        <w:ind w:firstLine="640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方正楷体_GB2312" w:hAnsi="方正楷体_GB2312" w:eastAsia="方正楷体_GB2312" w:cs="方正楷体_GB2312"/>
          <w:color w:val="auto"/>
        </w:rPr>
        <w:t>指南意图：</w:t>
      </w:r>
      <w:r>
        <w:rPr>
          <w:rFonts w:hint="eastAsia" w:ascii="仿宋_GB2312" w:hAnsi="仿宋_GB2312" w:eastAsia="仿宋_GB2312" w:cs="仿宋_GB2312"/>
          <w:color w:val="auto"/>
        </w:rPr>
        <w:t>（1）梳理全球主要国家基础教育学制改革的演变；（2）总结国外基础教育学制改革典型案例；（3）开展国内基础教育学制改革探索的系统调研；（4）诊断不同学段育人目标衔接状况；（5）提出弹性学制改革的政策建议。</w:t>
      </w:r>
    </w:p>
    <w:p w14:paraId="038C94B9">
      <w:pPr>
        <w:ind w:left="640" w:leftChars="200" w:firstLine="0" w:firstLineChars="0"/>
        <w:rPr>
          <w:rFonts w:hint="eastAsia" w:ascii="仿宋_GB2312" w:hAnsi="仿宋_GB2312" w:eastAsia="仿宋_GB2312" w:cs="仿宋_GB2312"/>
          <w:b/>
          <w:bCs/>
          <w:color w:val="auto"/>
        </w:rPr>
      </w:pPr>
    </w:p>
    <w:p w14:paraId="7E2778E9">
      <w:pPr>
        <w:numPr>
          <w:ilvl w:val="0"/>
          <w:numId w:val="1"/>
        </w:numPr>
        <w:ind w:left="-3" w:firstLine="643" w:firstLineChars="0"/>
        <w:rPr>
          <w:rFonts w:hint="eastAsia" w:ascii="仿宋_GB2312" w:hAnsi="仿宋_GB2312" w:eastAsia="仿宋_GB2312" w:cs="仿宋_GB2312"/>
          <w:b/>
          <w:bCs/>
          <w:color w:val="auto"/>
        </w:rPr>
      </w:pPr>
      <w:r>
        <w:rPr>
          <w:rFonts w:hint="eastAsia" w:ascii="仿宋_GB2312" w:hAnsi="仿宋_GB2312" w:eastAsia="仿宋_GB2312" w:cs="仿宋_GB2312"/>
          <w:b/>
          <w:bCs/>
          <w:color w:val="auto"/>
        </w:rPr>
        <w:t>全球义务教育史料研究</w:t>
      </w:r>
    </w:p>
    <w:p w14:paraId="4B568EE9">
      <w:pPr>
        <w:ind w:firstLine="640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方正楷体_GB2312" w:hAnsi="方正楷体_GB2312" w:eastAsia="方正楷体_GB2312" w:cs="方正楷体_GB2312"/>
          <w:color w:val="auto"/>
        </w:rPr>
        <w:t>指南意图：</w:t>
      </w:r>
      <w:r>
        <w:rPr>
          <w:rFonts w:hint="eastAsia" w:ascii="仿宋_GB2312" w:hAnsi="仿宋_GB2312" w:eastAsia="仿宋_GB2312" w:cs="仿宋_GB2312"/>
          <w:color w:val="auto"/>
        </w:rPr>
        <w:t>（1）搜集有代表性的国家义务教育制度史料；（2）搜集这些国家义务教育人物史料；（3）搜集这些国家义务教育学校课程教学活动史料；（4）编纂全球义务教育史料文献；（5）建立全球义务教育史料数据库和展示平台。</w:t>
      </w:r>
    </w:p>
    <w:p w14:paraId="52B55BAE">
      <w:pPr>
        <w:ind w:firstLine="0" w:firstLineChars="0"/>
        <w:rPr>
          <w:rFonts w:hint="eastAsia" w:ascii="仿宋_GB2312" w:hAnsi="仿宋_GB2312" w:eastAsia="仿宋_GB2312" w:cs="仿宋_GB2312"/>
          <w:b/>
          <w:bCs/>
          <w:color w:val="auto"/>
        </w:rPr>
      </w:pPr>
    </w:p>
    <w:p w14:paraId="128B16A7">
      <w:pPr>
        <w:numPr>
          <w:ilvl w:val="0"/>
          <w:numId w:val="1"/>
        </w:numPr>
        <w:ind w:left="-3" w:firstLine="643" w:firstLineChars="0"/>
        <w:rPr>
          <w:color w:val="auto"/>
        </w:rPr>
      </w:pPr>
      <w:r>
        <w:rPr>
          <w:rFonts w:hint="eastAsia" w:ascii="仿宋_GB2312" w:hAnsi="仿宋_GB2312" w:eastAsia="仿宋_GB2312" w:cs="仿宋_GB2312"/>
          <w:b/>
          <w:bCs/>
          <w:color w:val="auto"/>
        </w:rPr>
        <w:t>应用型本科院校建设和发展研究</w:t>
      </w:r>
    </w:p>
    <w:p w14:paraId="7CF0C27B">
      <w:pPr>
        <w:ind w:firstLine="640"/>
        <w:rPr>
          <w:rFonts w:hint="eastAsia" w:ascii="仿宋_GB2312" w:hAnsi="仿宋_GB2312" w:eastAsia="仿宋_GB2312" w:cs="仿宋_GB2312"/>
          <w:b/>
          <w:bCs/>
          <w:color w:val="auto"/>
        </w:rPr>
      </w:pPr>
      <w:r>
        <w:rPr>
          <w:rFonts w:hint="eastAsia" w:ascii="方正楷体_GB2312" w:hAnsi="方正楷体_GB2312" w:eastAsia="方正楷体_GB2312" w:cs="方正楷体_GB2312"/>
          <w:color w:val="auto"/>
        </w:rPr>
        <w:t>指南意图：</w:t>
      </w:r>
      <w:r>
        <w:rPr>
          <w:rFonts w:hint="eastAsia" w:ascii="仿宋_GB2312" w:hAnsi="仿宋_GB2312" w:eastAsia="仿宋_GB2312" w:cs="仿宋_GB2312"/>
          <w:color w:val="auto"/>
        </w:rPr>
        <w:t>（1）研究高等学校分类框架下应用型本科院校评价体系；（2）开展应用型本科院校发展模式现状大调研，形成研究报告；（3）开展应用型本科院校融入区域经济社会发展国际比较研究；（4）研究应用型本科院校“教地适配”发展模式和评价标准。</w:t>
      </w:r>
    </w:p>
    <w:p w14:paraId="3B61E344">
      <w:pPr>
        <w:ind w:firstLine="0" w:firstLineChars="0"/>
        <w:rPr>
          <w:rFonts w:hint="eastAsia" w:ascii="仿宋_GB2312" w:hAnsi="仿宋_GB2312" w:eastAsia="仿宋_GB2312" w:cs="仿宋_GB2312"/>
          <w:b/>
          <w:bCs/>
          <w:color w:val="auto"/>
        </w:rPr>
      </w:pPr>
    </w:p>
    <w:p w14:paraId="26E37FA3">
      <w:pPr>
        <w:numPr>
          <w:ilvl w:val="0"/>
          <w:numId w:val="1"/>
        </w:numPr>
        <w:ind w:left="-3" w:firstLine="643" w:firstLineChars="0"/>
        <w:rPr>
          <w:rFonts w:hint="eastAsia" w:ascii="仿宋_GB2312" w:hAnsi="仿宋_GB2312" w:eastAsia="仿宋_GB2312" w:cs="仿宋_GB2312"/>
          <w:b/>
          <w:bCs/>
          <w:color w:val="auto"/>
        </w:rPr>
      </w:pPr>
      <w:r>
        <w:rPr>
          <w:rFonts w:hint="eastAsia" w:ascii="仿宋_GB2312" w:hAnsi="仿宋_GB2312" w:eastAsia="仿宋_GB2312" w:cs="仿宋_GB2312"/>
          <w:b/>
          <w:bCs/>
          <w:color w:val="auto"/>
        </w:rPr>
        <w:t>颠覆性创新人才长周期培养体系研究</w:t>
      </w:r>
    </w:p>
    <w:p w14:paraId="49E9CB16">
      <w:pPr>
        <w:ind w:firstLine="640"/>
        <w:rPr>
          <w:rFonts w:hint="eastAsia" w:ascii="仿宋_GB2312" w:hAnsi="仿宋_GB2312" w:eastAsia="仿宋_GB2312" w:cs="仿宋_GB2312"/>
          <w:b/>
          <w:bCs/>
          <w:color w:val="auto"/>
        </w:rPr>
      </w:pPr>
      <w:r>
        <w:rPr>
          <w:rFonts w:hint="eastAsia" w:ascii="方正楷体_GB2312" w:hAnsi="方正楷体_GB2312" w:eastAsia="方正楷体_GB2312" w:cs="方正楷体_GB2312"/>
          <w:color w:val="auto"/>
        </w:rPr>
        <w:t>指南意图：</w:t>
      </w:r>
      <w:r>
        <w:rPr>
          <w:rFonts w:hint="eastAsia" w:ascii="仿宋_GB2312" w:hAnsi="仿宋_GB2312" w:eastAsia="仿宋_GB2312" w:cs="仿宋_GB2312"/>
          <w:color w:val="auto"/>
        </w:rPr>
        <w:t>（1）界定颠覆性创新人才的核心特质与识别标志；（2）系统调研国内外颠覆性创新人才培养的典型模式；（3）调研天才少年（U20）跨界思维、非共识性探索的核心需求；（4）提出颠覆性创新人才长周期培养机制；（5）建立跟踪颠覆性创新人才成长动态指标。</w:t>
      </w:r>
    </w:p>
    <w:p w14:paraId="258454E7">
      <w:pPr>
        <w:ind w:firstLine="0" w:firstLineChars="0"/>
        <w:rPr>
          <w:rFonts w:hint="eastAsia" w:ascii="仿宋_GB2312" w:hAnsi="仿宋_GB2312" w:eastAsia="仿宋_GB2312" w:cs="仿宋_GB2312"/>
          <w:b/>
          <w:bCs/>
          <w:color w:val="auto"/>
        </w:rPr>
      </w:pPr>
    </w:p>
    <w:p w14:paraId="355887D6">
      <w:pPr>
        <w:numPr>
          <w:ilvl w:val="0"/>
          <w:numId w:val="1"/>
        </w:numPr>
        <w:ind w:left="-3" w:firstLine="643" w:firstLineChars="0"/>
        <w:rPr>
          <w:rFonts w:hint="eastAsia" w:ascii="仿宋_GB2312" w:hAnsi="仿宋_GB2312" w:eastAsia="仿宋_GB2312" w:cs="仿宋_GB2312"/>
          <w:b/>
          <w:bCs/>
          <w:color w:val="auto"/>
        </w:rPr>
      </w:pPr>
      <w:r>
        <w:rPr>
          <w:rFonts w:hint="eastAsia" w:ascii="仿宋_GB2312" w:hAnsi="仿宋_GB2312" w:eastAsia="仿宋_GB2312" w:cs="仿宋_GB2312"/>
          <w:b/>
          <w:bCs/>
          <w:color w:val="auto"/>
        </w:rPr>
        <w:t>高等学校招生培养就业一体化改革研究</w:t>
      </w:r>
    </w:p>
    <w:p w14:paraId="205FF84F">
      <w:pPr>
        <w:ind w:firstLine="640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方正楷体_GB2312" w:hAnsi="方正楷体_GB2312" w:eastAsia="方正楷体_GB2312" w:cs="方正楷体_GB2312"/>
          <w:color w:val="auto"/>
        </w:rPr>
        <w:t>指南意图：</w:t>
      </w:r>
      <w:r>
        <w:rPr>
          <w:rFonts w:hint="eastAsia" w:ascii="仿宋_GB2312" w:hAnsi="仿宋_GB2312" w:eastAsia="仿宋_GB2312" w:cs="仿宋_GB2312"/>
          <w:color w:val="auto"/>
        </w:rPr>
        <w:t>（1）研究高等学校毕业生就业质量评价指标体系，开展就业质量评价，形成就业质量评价报告；（2）大规模开展高校毕业生、用人单位、高等学校、政府部门等主体的改革诉求调研，建立调研数据库；（3）研制就业岗位能力标准图谱，建立岗位需求信号向招生、培养环节的传导机制；（4）挖掘一体化改革的典型案例。</w:t>
      </w:r>
    </w:p>
    <w:p w14:paraId="1CC5A0D4">
      <w:pPr>
        <w:ind w:firstLine="0" w:firstLineChars="0"/>
        <w:rPr>
          <w:rFonts w:hint="eastAsia" w:ascii="仿宋_GB2312" w:hAnsi="仿宋_GB2312" w:eastAsia="仿宋_GB2312" w:cs="仿宋_GB2312"/>
          <w:b/>
          <w:bCs/>
          <w:color w:val="auto"/>
        </w:rPr>
      </w:pPr>
    </w:p>
    <w:p w14:paraId="64B7AC58">
      <w:pPr>
        <w:numPr>
          <w:ilvl w:val="0"/>
          <w:numId w:val="1"/>
        </w:numPr>
        <w:ind w:left="-3" w:firstLine="643" w:firstLineChars="0"/>
        <w:rPr>
          <w:color w:val="auto"/>
        </w:rPr>
      </w:pPr>
      <w:r>
        <w:rPr>
          <w:rFonts w:hint="eastAsia" w:ascii="仿宋_GB2312" w:hAnsi="仿宋_GB2312" w:eastAsia="仿宋_GB2312" w:cs="仿宋_GB2312"/>
          <w:b/>
          <w:bCs/>
          <w:color w:val="auto"/>
        </w:rPr>
        <w:t>中等职业教育高质量发展研究</w:t>
      </w:r>
    </w:p>
    <w:p w14:paraId="755BA92C">
      <w:pPr>
        <w:ind w:firstLine="640"/>
        <w:rPr>
          <w:rFonts w:hint="eastAsia" w:ascii="仿宋_GB2312" w:hAnsi="仿宋_GB2312" w:eastAsia="仿宋_GB2312" w:cs="仿宋_GB2312"/>
          <w:b/>
          <w:bCs/>
          <w:color w:val="auto"/>
        </w:rPr>
      </w:pPr>
      <w:r>
        <w:rPr>
          <w:rFonts w:hint="eastAsia" w:ascii="方正楷体_GB2312" w:hAnsi="方正楷体_GB2312" w:eastAsia="方正楷体_GB2312" w:cs="方正楷体_GB2312"/>
          <w:color w:val="auto"/>
        </w:rPr>
        <w:t>指南意图：</w:t>
      </w:r>
      <w:r>
        <w:rPr>
          <w:rFonts w:hint="eastAsia" w:ascii="仿宋_GB2312" w:hAnsi="仿宋_GB2312" w:eastAsia="仿宋_GB2312" w:cs="仿宋_GB2312"/>
          <w:color w:val="auto"/>
        </w:rPr>
        <w:t>（1）厘清职业教育体系中中等职业教育功能定位；（2）比较国际中等职业教育改革的典型模式；（3）聚焦关键要素创新中等职业教育人才培养模式；（4）提出破解中等职业学校产教融合不深的新举措；（5）研究中等教育结构；（6）</w:t>
      </w:r>
      <w:r>
        <w:rPr>
          <w:rFonts w:ascii="仿宋_GB2312" w:hAnsi="仿宋_GB2312" w:eastAsia="仿宋_GB2312" w:cs="仿宋_GB2312"/>
          <w:color w:val="auto"/>
        </w:rPr>
        <w:t>提出</w:t>
      </w:r>
      <w:r>
        <w:rPr>
          <w:rFonts w:hint="eastAsia" w:ascii="仿宋_GB2312" w:hAnsi="仿宋_GB2312" w:eastAsia="仿宋_GB2312" w:cs="仿宋_GB2312"/>
          <w:color w:val="auto"/>
        </w:rPr>
        <w:t>学龄</w:t>
      </w:r>
      <w:r>
        <w:rPr>
          <w:rFonts w:ascii="仿宋_GB2312" w:hAnsi="仿宋_GB2312" w:eastAsia="仿宋_GB2312" w:cs="仿宋_GB2312"/>
          <w:color w:val="auto"/>
        </w:rPr>
        <w:t>人口</w:t>
      </w:r>
      <w:r>
        <w:rPr>
          <w:rFonts w:hint="eastAsia" w:ascii="仿宋_GB2312" w:hAnsi="仿宋_GB2312" w:eastAsia="仿宋_GB2312" w:cs="仿宋_GB2312"/>
          <w:color w:val="auto"/>
        </w:rPr>
        <w:t>变动</w:t>
      </w:r>
      <w:r>
        <w:rPr>
          <w:rFonts w:ascii="仿宋_GB2312" w:hAnsi="仿宋_GB2312" w:eastAsia="仿宋_GB2312" w:cs="仿宋_GB2312"/>
          <w:color w:val="auto"/>
        </w:rPr>
        <w:t>背景下</w:t>
      </w:r>
      <w:r>
        <w:rPr>
          <w:rFonts w:hint="eastAsia" w:ascii="仿宋_GB2312" w:hAnsi="仿宋_GB2312" w:eastAsia="仿宋_GB2312" w:cs="仿宋_GB2312"/>
          <w:color w:val="auto"/>
        </w:rPr>
        <w:t>中等职业学校</w:t>
      </w:r>
      <w:r>
        <w:rPr>
          <w:rFonts w:ascii="仿宋_GB2312" w:hAnsi="仿宋_GB2312" w:eastAsia="仿宋_GB2312" w:cs="仿宋_GB2312"/>
          <w:color w:val="auto"/>
        </w:rPr>
        <w:t>布局优化方案。</w:t>
      </w:r>
    </w:p>
    <w:p w14:paraId="5875EAD4">
      <w:pPr>
        <w:ind w:firstLine="0" w:firstLineChars="0"/>
        <w:rPr>
          <w:rFonts w:hint="eastAsia" w:ascii="仿宋_GB2312" w:hAnsi="仿宋_GB2312" w:eastAsia="仿宋_GB2312" w:cs="仿宋_GB2312"/>
          <w:b/>
          <w:bCs/>
          <w:color w:val="auto"/>
        </w:rPr>
      </w:pPr>
    </w:p>
    <w:p w14:paraId="0C0F73AA">
      <w:pPr>
        <w:numPr>
          <w:ilvl w:val="0"/>
          <w:numId w:val="1"/>
        </w:numPr>
        <w:ind w:left="-3" w:firstLine="643" w:firstLineChars="0"/>
        <w:rPr>
          <w:rFonts w:hint="eastAsia" w:ascii="仿宋_GB2312" w:hAnsi="仿宋_GB2312" w:eastAsia="仿宋_GB2312" w:cs="仿宋_GB2312"/>
          <w:b/>
          <w:bCs/>
          <w:color w:val="auto"/>
        </w:rPr>
      </w:pPr>
      <w:r>
        <w:rPr>
          <w:rFonts w:hint="eastAsia" w:ascii="仿宋_GB2312" w:hAnsi="仿宋_GB2312" w:eastAsia="仿宋_GB2312" w:cs="仿宋_GB2312"/>
          <w:b/>
          <w:bCs/>
          <w:color w:val="auto"/>
        </w:rPr>
        <w:t>人工智能时代学习规律研究</w:t>
      </w:r>
    </w:p>
    <w:p w14:paraId="47711E57">
      <w:pPr>
        <w:ind w:firstLine="640"/>
        <w:rPr>
          <w:rFonts w:hint="eastAsia" w:ascii="仿宋_GB2312" w:hAnsi="仿宋_GB2312" w:eastAsia="仿宋_GB2312" w:cs="仿宋_GB2312"/>
          <w:b/>
          <w:bCs/>
          <w:color w:val="auto"/>
        </w:rPr>
      </w:pPr>
      <w:r>
        <w:rPr>
          <w:rFonts w:hint="eastAsia" w:ascii="方正楷体_GB2312" w:hAnsi="方正楷体_GB2312" w:eastAsia="方正楷体_GB2312" w:cs="方正楷体_GB2312"/>
          <w:color w:val="auto"/>
        </w:rPr>
        <w:t>指南意图：</w:t>
      </w:r>
      <w:r>
        <w:rPr>
          <w:rFonts w:hint="eastAsia" w:ascii="仿宋_GB2312" w:hAnsi="仿宋_GB2312" w:eastAsia="仿宋_GB2312" w:cs="仿宋_GB2312"/>
          <w:color w:val="auto"/>
        </w:rPr>
        <w:t>（1）在人工智能时代重审制度化教育和非学校化社会等理论；（2）开展技术改变教育逻辑历史研究；（3）辨析现有人工智能学习理论；（4）开展大规模AI学习行为实证调查；（5）建构智能时代学习规律本土化理论模型；（6）提出适应AI变革的学习基本命题，编著《人工智能时代学习论》；（7）在3-5个区域和学校打造新学习形态。</w:t>
      </w:r>
    </w:p>
    <w:p w14:paraId="4EE8E9E9">
      <w:pPr>
        <w:ind w:firstLine="0" w:firstLineChars="0"/>
        <w:rPr>
          <w:rFonts w:hint="eastAsia" w:ascii="仿宋_GB2312" w:hAnsi="仿宋_GB2312" w:eastAsia="仿宋_GB2312" w:cs="仿宋_GB2312"/>
          <w:b/>
          <w:bCs/>
          <w:color w:val="auto"/>
        </w:rPr>
      </w:pPr>
    </w:p>
    <w:p w14:paraId="1399FB8F">
      <w:pPr>
        <w:numPr>
          <w:ilvl w:val="0"/>
          <w:numId w:val="1"/>
        </w:numPr>
        <w:ind w:left="-3" w:firstLine="643" w:firstLineChars="0"/>
        <w:rPr>
          <w:rFonts w:hint="eastAsia" w:ascii="仿宋_GB2312" w:hAnsi="仿宋_GB2312" w:eastAsia="仿宋_GB2312" w:cs="仿宋_GB2312"/>
          <w:b/>
          <w:bCs/>
          <w:color w:val="auto"/>
        </w:rPr>
      </w:pPr>
      <w:r>
        <w:rPr>
          <w:rFonts w:hint="eastAsia" w:ascii="仿宋_GB2312" w:hAnsi="仿宋_GB2312" w:eastAsia="仿宋_GB2312" w:cs="仿宋_GB2312"/>
          <w:b/>
          <w:bCs/>
          <w:color w:val="auto"/>
        </w:rPr>
        <w:t>人工智能对学生思维发展影响的实验研究</w:t>
      </w:r>
    </w:p>
    <w:p w14:paraId="4DEC73CD">
      <w:pPr>
        <w:ind w:firstLine="640"/>
        <w:rPr>
          <w:rFonts w:ascii="Times New Roman" w:hAnsi="Times New Roman" w:cs="Times New Roman"/>
          <w:color w:val="auto"/>
        </w:rPr>
      </w:pPr>
      <w:r>
        <w:rPr>
          <w:rFonts w:hint="eastAsia" w:ascii="方正楷体_GB2312" w:hAnsi="方正楷体_GB2312" w:eastAsia="方正楷体_GB2312" w:cs="方正楷体_GB2312"/>
          <w:color w:val="auto"/>
        </w:rPr>
        <w:t>指南意图：</w:t>
      </w:r>
      <w:r>
        <w:rPr>
          <w:rFonts w:hint="eastAsia" w:ascii="仿宋_GB2312" w:hAnsi="仿宋_GB2312" w:eastAsia="仿宋_GB2312" w:cs="仿宋_GB2312"/>
          <w:color w:val="auto"/>
        </w:rPr>
        <w:t>（1）按照实验规范开展研究；（2）验证人工智能对学生思维发展产生影响的诸多认识；（3）提出人工智能对学生思维发展的影响因素；（4）建构人工智能影响下学生高阶思维发展模型。</w:t>
      </w:r>
    </w:p>
    <w:p w14:paraId="4A01D95A">
      <w:pPr>
        <w:ind w:firstLine="0" w:firstLineChars="0"/>
        <w:rPr>
          <w:rFonts w:hint="eastAsia" w:ascii="仿宋_GB2312" w:hAnsi="仿宋_GB2312" w:eastAsia="仿宋_GB2312" w:cs="仿宋_GB2312"/>
          <w:b/>
          <w:bCs/>
          <w:color w:val="auto"/>
        </w:rPr>
      </w:pPr>
    </w:p>
    <w:p w14:paraId="3EBEABF2">
      <w:pPr>
        <w:numPr>
          <w:ilvl w:val="0"/>
          <w:numId w:val="1"/>
        </w:numPr>
        <w:ind w:left="-3" w:firstLine="643" w:firstLineChars="0"/>
        <w:rPr>
          <w:rFonts w:hint="eastAsia" w:ascii="仿宋_GB2312" w:hAnsi="仿宋_GB2312" w:eastAsia="仿宋_GB2312" w:cs="仿宋_GB2312"/>
          <w:b/>
          <w:bCs/>
          <w:color w:val="auto"/>
        </w:rPr>
      </w:pPr>
      <w:r>
        <w:rPr>
          <w:rFonts w:hint="eastAsia" w:ascii="仿宋_GB2312" w:hAnsi="仿宋_GB2312" w:eastAsia="仿宋_GB2312" w:cs="仿宋_GB2312"/>
          <w:b/>
          <w:bCs/>
          <w:color w:val="auto"/>
        </w:rPr>
        <w:t>人工智能时代幼儿大脑教育开发研究</w:t>
      </w:r>
    </w:p>
    <w:p w14:paraId="33D73017">
      <w:pPr>
        <w:ind w:firstLine="640"/>
        <w:rPr>
          <w:rFonts w:hint="eastAsia" w:ascii="仿宋_GB2312" w:hAnsi="仿宋_GB2312" w:eastAsia="仿宋_GB2312" w:cs="仿宋_GB2312"/>
          <w:b/>
          <w:bCs/>
          <w:color w:val="auto"/>
        </w:rPr>
      </w:pPr>
      <w:r>
        <w:rPr>
          <w:rFonts w:hint="eastAsia" w:ascii="方正楷体_GB2312" w:hAnsi="方正楷体_GB2312" w:eastAsia="方正楷体_GB2312" w:cs="方正楷体_GB2312"/>
          <w:color w:val="auto"/>
        </w:rPr>
        <w:t>指南意图：</w:t>
      </w:r>
      <w:r>
        <w:rPr>
          <w:rFonts w:hint="eastAsia" w:ascii="仿宋_GB2312" w:hAnsi="仿宋_GB2312" w:eastAsia="仿宋_GB2312" w:cs="仿宋_GB2312"/>
          <w:color w:val="auto"/>
        </w:rPr>
        <w:t>（1）研究人工智能时代幼儿大脑发育规律；（2）研究人工智能驱动幼儿大脑个性化教育开发的机制；（3）研制幼儿人工智能使用分级指导标准和伦理规范；（4）建立人机协同范式下幼儿教师保教能力标准；（5）提出以幼儿大脑开发反哺人工智能突破的理论模型；（6）形成人工智能融入幼儿教育的国际比较案例库。</w:t>
      </w:r>
    </w:p>
    <w:p w14:paraId="5BE14DD3">
      <w:pPr>
        <w:ind w:firstLine="0" w:firstLineChars="0"/>
        <w:rPr>
          <w:rFonts w:hint="eastAsia" w:ascii="仿宋_GB2312" w:hAnsi="仿宋_GB2312" w:eastAsia="仿宋_GB2312" w:cs="仿宋_GB2312"/>
          <w:b/>
          <w:bCs/>
          <w:color w:val="auto"/>
        </w:rPr>
      </w:pPr>
    </w:p>
    <w:p w14:paraId="3E30D5E3">
      <w:pPr>
        <w:numPr>
          <w:ilvl w:val="0"/>
          <w:numId w:val="1"/>
        </w:numPr>
        <w:ind w:left="-3" w:firstLine="643" w:firstLineChars="0"/>
        <w:rPr>
          <w:rFonts w:hint="eastAsia" w:ascii="仿宋_GB2312" w:hAnsi="仿宋_GB2312" w:eastAsia="仿宋_GB2312" w:cs="仿宋_GB2312"/>
          <w:b/>
          <w:bCs/>
          <w:color w:val="auto"/>
        </w:rPr>
      </w:pPr>
      <w:r>
        <w:rPr>
          <w:rFonts w:hint="eastAsia" w:ascii="仿宋_GB2312" w:hAnsi="仿宋_GB2312" w:eastAsia="仿宋_GB2312" w:cs="仿宋_GB2312"/>
          <w:b/>
          <w:bCs/>
          <w:color w:val="auto"/>
        </w:rPr>
        <w:t>新时代教师教育体系改革研究</w:t>
      </w:r>
    </w:p>
    <w:p w14:paraId="728A4119">
      <w:pPr>
        <w:ind w:firstLine="640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方正楷体_GB2312" w:hAnsi="方正楷体_GB2312" w:eastAsia="方正楷体_GB2312" w:cs="方正楷体_GB2312"/>
          <w:color w:val="auto"/>
        </w:rPr>
        <w:t>指南意图：</w:t>
      </w:r>
      <w:r>
        <w:rPr>
          <w:rFonts w:hint="eastAsia" w:ascii="仿宋_GB2312" w:hAnsi="仿宋_GB2312" w:eastAsia="仿宋_GB2312" w:cs="仿宋_GB2312"/>
          <w:color w:val="auto"/>
        </w:rPr>
        <w:t>（1）研究高等学校分类框架下师范类院校评价体系；（2）提出师范院校教师培养模式改革方案；（3）研究教师培养环节人工智能素养能力标准；（4）总结我国“双一流”综合性大学开展教师教育经验；（5）实施世界一流大学开展教师教育模式国别比较研究。</w:t>
      </w:r>
    </w:p>
    <w:p w14:paraId="3CF061E8">
      <w:pPr>
        <w:ind w:firstLine="640"/>
        <w:rPr>
          <w:rFonts w:hint="eastAsia" w:ascii="仿宋_GB2312" w:hAnsi="仿宋_GB2312" w:eastAsia="仿宋_GB2312" w:cs="仿宋_GB2312"/>
          <w:color w:val="auto"/>
        </w:rPr>
      </w:pPr>
    </w:p>
    <w:p w14:paraId="6CE8C4A4">
      <w:pPr>
        <w:numPr>
          <w:ilvl w:val="0"/>
          <w:numId w:val="1"/>
        </w:numPr>
        <w:ind w:left="-3" w:firstLine="643" w:firstLineChars="0"/>
        <w:rPr>
          <w:rFonts w:hint="eastAsia" w:ascii="仿宋_GB2312" w:hAnsi="仿宋_GB2312" w:eastAsia="仿宋_GB2312" w:cs="仿宋_GB2312"/>
          <w:b/>
          <w:bCs/>
          <w:color w:val="auto"/>
        </w:rPr>
      </w:pPr>
      <w:r>
        <w:rPr>
          <w:rFonts w:hint="eastAsia" w:ascii="仿宋_GB2312" w:hAnsi="仿宋_GB2312" w:eastAsia="仿宋_GB2312" w:cs="仿宋_GB2312"/>
          <w:b/>
          <w:bCs/>
          <w:color w:val="auto"/>
        </w:rPr>
        <w:t>民办教育战略重塑研究</w:t>
      </w:r>
    </w:p>
    <w:p w14:paraId="38CCACBB">
      <w:pPr>
        <w:ind w:firstLine="640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方正楷体_GB2312" w:hAnsi="方正楷体_GB2312" w:eastAsia="方正楷体_GB2312" w:cs="方正楷体_GB2312"/>
          <w:color w:val="auto"/>
        </w:rPr>
        <w:t>指南意图：</w:t>
      </w:r>
      <w:r>
        <w:rPr>
          <w:rFonts w:hint="eastAsia" w:ascii="仿宋_GB2312" w:hAnsi="仿宋_GB2312" w:eastAsia="仿宋_GB2312" w:cs="仿宋_GB2312"/>
          <w:color w:val="auto"/>
        </w:rPr>
        <w:t>（1）开展民办教育社会化认同调研；（2）分析民办教育发挥战略功能的领域；（3）结合学龄人口变动开展各级各类教育中民办教育需求调查；（4）提出发挥民办教育战略功能的政策建议。</w:t>
      </w:r>
    </w:p>
    <w:p w14:paraId="1F0B642B">
      <w:pPr>
        <w:ind w:firstLine="0" w:firstLineChars="0"/>
        <w:rPr>
          <w:rFonts w:hint="eastAsia" w:ascii="仿宋_GB2312" w:hAnsi="仿宋_GB2312" w:eastAsia="仿宋_GB2312" w:cs="仿宋_GB2312"/>
          <w:b/>
          <w:bCs/>
          <w:color w:val="auto"/>
        </w:rPr>
      </w:pPr>
    </w:p>
    <w:p w14:paraId="130E7E1F">
      <w:pPr>
        <w:numPr>
          <w:ilvl w:val="0"/>
          <w:numId w:val="1"/>
        </w:numPr>
        <w:ind w:left="-3" w:firstLine="643" w:firstLineChars="0"/>
        <w:rPr>
          <w:rFonts w:hint="eastAsia" w:ascii="仿宋_GB2312" w:hAnsi="仿宋_GB2312" w:eastAsia="仿宋_GB2312" w:cs="仿宋_GB2312"/>
          <w:b/>
          <w:bCs/>
          <w:color w:val="auto"/>
        </w:rPr>
      </w:pPr>
      <w:r>
        <w:rPr>
          <w:rFonts w:hint="eastAsia" w:ascii="仿宋_GB2312" w:hAnsi="仿宋_GB2312" w:eastAsia="仿宋_GB2312" w:cs="仿宋_GB2312"/>
          <w:b/>
          <w:bCs/>
          <w:color w:val="auto"/>
        </w:rPr>
        <w:t>适应学龄人口变动的教育经费分配新机制研究</w:t>
      </w:r>
    </w:p>
    <w:p w14:paraId="2E091D17">
      <w:pPr>
        <w:ind w:firstLine="640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方正楷体_GB2312" w:hAnsi="方正楷体_GB2312" w:eastAsia="方正楷体_GB2312" w:cs="方正楷体_GB2312"/>
          <w:color w:val="auto"/>
        </w:rPr>
        <w:t>指南意图：</w:t>
      </w:r>
      <w:r>
        <w:rPr>
          <w:rFonts w:hint="eastAsia" w:ascii="仿宋_GB2312" w:hAnsi="仿宋_GB2312" w:eastAsia="仿宋_GB2312" w:cs="仿宋_GB2312"/>
          <w:color w:val="auto"/>
        </w:rPr>
        <w:t>（1）研判学龄人口变动下教育财政投入风险；（2）研究义务教育“钱随人走”实施路径；（3）提出加大教育投入强度的新举措；（4）提出优化教育经费支出结构的办法；（5）设计贯穿全生命周期的教育预算绩效管理体系。</w:t>
      </w:r>
    </w:p>
    <w:p w14:paraId="2EADCD2E">
      <w:pPr>
        <w:ind w:firstLine="0" w:firstLineChars="0"/>
        <w:rPr>
          <w:rFonts w:hint="eastAsia" w:ascii="仿宋_GB2312" w:hAnsi="仿宋_GB2312" w:eastAsia="仿宋_GB2312" w:cs="仿宋_GB2312"/>
          <w:b/>
          <w:bCs/>
          <w:color w:val="auto"/>
        </w:rPr>
      </w:pPr>
    </w:p>
    <w:p w14:paraId="5CA51EAC">
      <w:pPr>
        <w:numPr>
          <w:ilvl w:val="0"/>
          <w:numId w:val="1"/>
        </w:numPr>
        <w:ind w:left="-3" w:firstLine="643" w:firstLineChars="0"/>
        <w:rPr>
          <w:rFonts w:hint="eastAsia" w:ascii="仿宋_GB2312" w:hAnsi="仿宋_GB2312" w:eastAsia="仿宋_GB2312" w:cs="仿宋_GB2312"/>
          <w:b/>
          <w:bCs/>
          <w:color w:val="auto"/>
        </w:rPr>
      </w:pPr>
      <w:r>
        <w:rPr>
          <w:rFonts w:hint="eastAsia" w:ascii="仿宋_GB2312" w:hAnsi="仿宋_GB2312" w:eastAsia="仿宋_GB2312" w:cs="仿宋_GB2312"/>
          <w:b/>
          <w:bCs/>
          <w:color w:val="auto"/>
        </w:rPr>
        <w:t>港澳高等教育融入教育强国建设的政策与路径研究</w:t>
      </w:r>
    </w:p>
    <w:p w14:paraId="459698D5">
      <w:pPr>
        <w:ind w:firstLine="640" w:firstLineChars="0"/>
        <w:rPr>
          <w:color w:val="auto"/>
        </w:rPr>
      </w:pPr>
      <w:r>
        <w:rPr>
          <w:rFonts w:hint="eastAsia" w:ascii="方正楷体_GB2312" w:hAnsi="方正楷体_GB2312" w:eastAsia="方正楷体_GB2312" w:cs="方正楷体_GB2312"/>
          <w:color w:val="auto"/>
        </w:rPr>
        <w:t>指南意图：</w:t>
      </w:r>
      <w:r>
        <w:rPr>
          <w:rFonts w:hint="eastAsia" w:ascii="仿宋_GB2312" w:hAnsi="仿宋_GB2312" w:eastAsia="仿宋_GB2312" w:cs="仿宋_GB2312"/>
          <w:color w:val="auto"/>
        </w:rPr>
        <w:t>（1）评估港澳高等教育发展现状；（2）探究破除融入制度型障碍的政策体系，重点研究科研要素跨境流动、教育认证衔接及重大科技攻关参与机制；（3）研究粤港澳高等教育协同发展的长效机制；（4）提出港澳高等教育融入教育强国建设的阶段性演进路径。</w:t>
      </w:r>
    </w:p>
    <w:p w14:paraId="3D71EFE2">
      <w:pPr>
        <w:ind w:firstLine="0" w:firstLineChars="0"/>
        <w:rPr>
          <w:color w:val="auto"/>
        </w:rPr>
      </w:pPr>
    </w:p>
    <w:p w14:paraId="570C7609">
      <w:pPr>
        <w:numPr>
          <w:ilvl w:val="0"/>
          <w:numId w:val="1"/>
        </w:numPr>
        <w:ind w:left="-3" w:firstLine="643" w:firstLineChars="0"/>
        <w:rPr>
          <w:rFonts w:ascii="Times New Roman" w:hAnsi="Times New Roman" w:cs="Times New Roman"/>
          <w:b/>
          <w:bCs/>
          <w:color w:val="auto"/>
        </w:rPr>
      </w:pPr>
      <w:r>
        <w:rPr>
          <w:rFonts w:hint="eastAsia" w:ascii="Times New Roman" w:hAnsi="Times New Roman" w:cs="Times New Roman"/>
          <w:b/>
          <w:bCs/>
          <w:color w:val="auto"/>
        </w:rPr>
        <w:t>国际组织人才培养长效机制研究</w:t>
      </w:r>
    </w:p>
    <w:p w14:paraId="1419154F">
      <w:pPr>
        <w:ind w:firstLine="640"/>
        <w:rPr>
          <w:rFonts w:ascii="Times New Roman" w:hAnsi="Times New Roman" w:cs="Times New Roman"/>
          <w:color w:val="auto"/>
        </w:rPr>
      </w:pPr>
      <w:r>
        <w:rPr>
          <w:rFonts w:hint="eastAsia" w:ascii="方正楷体_GB2312" w:hAnsi="方正楷体_GB2312" w:eastAsia="方正楷体_GB2312" w:cs="方正楷体_GB2312"/>
          <w:color w:val="auto"/>
        </w:rPr>
        <w:t>指南意图：</w:t>
      </w:r>
      <w:r>
        <w:rPr>
          <w:rFonts w:ascii="仿宋_GB2312" w:hAnsi="仿宋_GB2312" w:eastAsia="仿宋_GB2312" w:cs="仿宋_GB2312"/>
          <w:color w:val="auto"/>
        </w:rPr>
        <w:t>（1）开展中国参与全球教育治理的影响力评估；（2）系统分析当前我国国际组织人才培养推送的现状与问题；（3）研究主要发达国家国际组织人才培养推送做法和经验；（4）提出我国加强和改进国际组织人才培养推送的系统化方案。</w:t>
      </w:r>
    </w:p>
    <w:p w14:paraId="2153299B">
      <w:pPr>
        <w:ind w:firstLine="0" w:firstLineChars="0"/>
        <w:rPr>
          <w:rFonts w:hint="eastAsia" w:ascii="方正楷体_GB2312" w:hAnsi="方正楷体_GB2312" w:eastAsia="方正楷体_GB2312" w:cs="方正楷体_GB2312"/>
          <w:color w:val="auto"/>
        </w:rPr>
      </w:pPr>
    </w:p>
    <w:p w14:paraId="0E6FD1BD">
      <w:pPr>
        <w:numPr>
          <w:ilvl w:val="0"/>
          <w:numId w:val="1"/>
        </w:numPr>
        <w:ind w:left="-3" w:firstLine="643" w:firstLineChars="0"/>
        <w:rPr>
          <w:rFonts w:hint="eastAsia" w:ascii="仿宋_GB2312" w:hAnsi="仿宋_GB2312" w:eastAsia="仿宋_GB2312" w:cs="仿宋_GB2312"/>
          <w:b/>
          <w:bCs/>
          <w:color w:val="auto"/>
        </w:rPr>
      </w:pPr>
      <w:r>
        <w:rPr>
          <w:rFonts w:hint="eastAsia" w:ascii="仿宋_GB2312" w:hAnsi="仿宋_GB2312" w:eastAsia="仿宋_GB2312" w:cs="仿宋_GB2312"/>
          <w:b/>
          <w:bCs/>
          <w:color w:val="auto"/>
        </w:rPr>
        <w:t>2030后全球教育议程中国方案研究</w:t>
      </w:r>
    </w:p>
    <w:p w14:paraId="72CDFC80">
      <w:pPr>
        <w:ind w:firstLine="640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方正楷体_GB2312" w:hAnsi="方正楷体_GB2312" w:eastAsia="方正楷体_GB2312" w:cs="方正楷体_GB2312"/>
          <w:color w:val="auto"/>
        </w:rPr>
        <w:t>指南意图：</w:t>
      </w:r>
      <w:r>
        <w:rPr>
          <w:rFonts w:hint="eastAsia" w:ascii="仿宋_GB2312" w:hAnsi="仿宋_GB2312" w:eastAsia="仿宋_GB2312" w:cs="仿宋_GB2312"/>
          <w:color w:val="auto"/>
        </w:rPr>
        <w:t>（1）研判2030后全球教育发展方向与治理格局变化；（2）提出确立2030后全球教育议程的基本原则、优先事项和发展目标；（3）构建融合中国特色与国际共识的2030后全球教育议程框架、磋商机制与实施路径；（4）剖析联合国教科文组织等国际组织的运行机制，探索中国深度参与并引领全球教育治理的战略支撑点。</w:t>
      </w:r>
    </w:p>
    <w:p w14:paraId="635CA738">
      <w:pPr>
        <w:ind w:firstLine="640"/>
        <w:rPr>
          <w:rFonts w:hint="eastAsia" w:ascii="仿宋_GB2312" w:hAnsi="仿宋_GB2312" w:eastAsia="仿宋_GB2312" w:cs="仿宋_GB2312"/>
          <w:color w:val="auto"/>
        </w:rPr>
      </w:pPr>
    </w:p>
    <w:p w14:paraId="7487FEC2">
      <w:pPr>
        <w:numPr>
          <w:ilvl w:val="0"/>
          <w:numId w:val="1"/>
        </w:numPr>
        <w:ind w:left="-3" w:firstLine="643" w:firstLineChars="0"/>
        <w:rPr>
          <w:rFonts w:hint="eastAsia" w:ascii="仿宋_GB2312" w:hAnsi="仿宋_GB2312" w:eastAsia="仿宋_GB2312" w:cs="仿宋_GB2312"/>
          <w:b/>
          <w:bCs/>
          <w:color w:val="auto"/>
        </w:rPr>
      </w:pPr>
      <w:r>
        <w:rPr>
          <w:rFonts w:hint="eastAsia" w:ascii="仿宋_GB2312" w:hAnsi="仿宋_GB2312" w:eastAsia="仿宋_GB2312" w:cs="仿宋_GB2312"/>
          <w:b/>
          <w:bCs/>
          <w:color w:val="auto"/>
        </w:rPr>
        <w:t>学科谱系下中国教育学自主知识体系建构研究</w:t>
      </w:r>
    </w:p>
    <w:p w14:paraId="68FAB51E">
      <w:pPr>
        <w:pStyle w:val="8"/>
        <w:ind w:firstLine="640"/>
        <w:rPr>
          <w:b/>
          <w:bCs/>
          <w:color w:val="auto"/>
        </w:rPr>
      </w:pPr>
      <w:r>
        <w:rPr>
          <w:rFonts w:hint="eastAsia" w:ascii="方正楷体_GB2312" w:hAnsi="方正楷体_GB2312" w:eastAsia="方正楷体_GB2312" w:cs="方正楷体_GB2312"/>
          <w:color w:val="auto"/>
        </w:rPr>
        <w:t>指南意图：</w:t>
      </w:r>
      <w:r>
        <w:rPr>
          <w:rFonts w:hint="eastAsia" w:ascii="仿宋_GB2312" w:hAnsi="仿宋_GB2312" w:eastAsia="仿宋_GB2312" w:cs="仿宋_GB2312"/>
          <w:color w:val="auto"/>
        </w:rPr>
        <w:t>（1）梳理教育学与相关学科的知识互动史；（2）选择文理10个学科，诊断学科建设中的教育学知识应用情况；（3）开展跨学科教育学知识供给需求调查；（4）梳理哲学社会科学自主知识体系建构主要做法和经验；（5）凝练中国教育学原创性理论；（6）探析世界范围内教育学发展趋势。</w:t>
      </w:r>
    </w:p>
    <w:p w14:paraId="7AFADF00">
      <w:pPr>
        <w:ind w:firstLine="320" w:firstLineChars="100"/>
        <w:rPr>
          <w:rFonts w:ascii="Times New Roman" w:hAnsi="Times New Roman" w:cs="Times New Roman"/>
          <w:color w:val="auto"/>
        </w:rPr>
      </w:pPr>
    </w:p>
    <w:p w14:paraId="0571896D">
      <w:pPr>
        <w:ind w:firstLine="640"/>
        <w:rPr>
          <w:rFonts w:hint="eastAsia" w:ascii="仿宋_GB2312" w:hAnsi="仿宋_GB2312" w:eastAsia="仿宋_GB2312" w:cs="仿宋_GB2312"/>
          <w:color w:val="auto"/>
        </w:rPr>
      </w:pPr>
    </w:p>
    <w:p w14:paraId="40E5AF7D">
      <w:pPr>
        <w:ind w:firstLine="640"/>
        <w:rPr>
          <w:rFonts w:hint="eastAsia" w:ascii="仿宋_GB2312" w:hAnsi="仿宋_GB2312" w:eastAsia="仿宋_GB2312" w:cs="仿宋_GB2312"/>
          <w:color w:val="auto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0242D4B-29D5-4069-B542-97A9F38BB4A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B552033F-2309-48B8-A156-BF82A6E7DAC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F550E3A-13DD-4FEA-BFBA-741D55C128BA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86BACE79-5C1E-46FF-8AFE-4582852BE69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89929572"/>
      <w:docPartObj>
        <w:docPartGallery w:val="autotext"/>
      </w:docPartObj>
    </w:sdtPr>
    <w:sdtEndPr>
      <w:rPr>
        <w:rFonts w:ascii="Times New Roman" w:hAnsi="Times New Roman" w:cs="Times New Roman"/>
        <w:sz w:val="22"/>
        <w:szCs w:val="22"/>
      </w:rPr>
    </w:sdtEndPr>
    <w:sdtContent>
      <w:p w14:paraId="105796E3">
        <w:pPr>
          <w:pStyle w:val="3"/>
          <w:ind w:firstLine="360"/>
          <w:jc w:val="center"/>
          <w:rPr>
            <w:rFonts w:ascii="Times New Roman" w:hAnsi="Times New Roman" w:cs="Times New Roman"/>
            <w:sz w:val="22"/>
            <w:szCs w:val="22"/>
          </w:rPr>
        </w:pPr>
        <w:r>
          <w:rPr>
            <w:rFonts w:hint="eastAsia"/>
            <w:lang w:eastAsia="zh-CN"/>
          </w:rPr>
          <w:t>—</w:t>
        </w:r>
        <w:r>
          <w:rPr>
            <w:rFonts w:ascii="Times New Roman" w:hAnsi="Times New Roman" w:cs="Times New Roman"/>
            <w:sz w:val="22"/>
            <w:szCs w:val="22"/>
          </w:rPr>
          <w:fldChar w:fldCharType="begin"/>
        </w:r>
        <w:r>
          <w:rPr>
            <w:rFonts w:ascii="Times New Roman" w:hAnsi="Times New Roman" w:cs="Times New Roman"/>
            <w:sz w:val="22"/>
            <w:szCs w:val="22"/>
          </w:rPr>
          <w:instrText xml:space="preserve">PAGE   \* MERGEFORMAT</w:instrText>
        </w:r>
        <w:r>
          <w:rPr>
            <w:rFonts w:ascii="Times New Roman" w:hAnsi="Times New Roman" w:cs="Times New Roman"/>
            <w:sz w:val="22"/>
            <w:szCs w:val="22"/>
          </w:rPr>
          <w:fldChar w:fldCharType="separate"/>
        </w:r>
        <w:r>
          <w:rPr>
            <w:rFonts w:ascii="Times New Roman" w:hAnsi="Times New Roman" w:cs="Times New Roman"/>
            <w:sz w:val="22"/>
            <w:szCs w:val="22"/>
            <w:lang w:val="zh-CN"/>
          </w:rPr>
          <w:t>2</w:t>
        </w:r>
        <w:r>
          <w:rPr>
            <w:rFonts w:ascii="Times New Roman" w:hAnsi="Times New Roman" w:cs="Times New Roman"/>
            <w:sz w:val="22"/>
            <w:szCs w:val="22"/>
          </w:rPr>
          <w:fldChar w:fldCharType="end"/>
        </w:r>
        <w:r>
          <w:rPr>
            <w:rFonts w:hint="eastAsia" w:ascii="Times New Roman" w:hAnsi="Times New Roman" w:cs="Times New Roman"/>
            <w:sz w:val="22"/>
            <w:szCs w:val="22"/>
            <w:lang w:eastAsia="zh-CN"/>
          </w:rPr>
          <w:t>—</w:t>
        </w:r>
      </w:p>
    </w:sdtContent>
  </w:sdt>
  <w:p w14:paraId="0B443592">
    <w:pPr>
      <w:pStyle w:val="3"/>
      <w:ind w:firstLine="360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A17765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341A9B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0E333C"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208B68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A4C2A4">
    <w:pPr>
      <w:pStyle w:val="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A0AED8"/>
    <w:multiLevelType w:val="singleLevel"/>
    <w:tmpl w:val="28A0AED8"/>
    <w:lvl w:ilvl="0" w:tentative="0">
      <w:start w:val="1"/>
      <w:numFmt w:val="decimal"/>
      <w:suff w:val="space"/>
      <w:lvlText w:val="%1."/>
      <w:lvlJc w:val="left"/>
      <w:pPr>
        <w:ind w:left="422" w:hanging="425"/>
      </w:pPr>
      <w:rPr>
        <w:rFonts w:hint="default" w:ascii="Times New Roman" w:hAnsi="Times New Roman" w:cs="Times New Roman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62043F"/>
    <w:rsid w:val="00056441"/>
    <w:rsid w:val="001164B6"/>
    <w:rsid w:val="00135758"/>
    <w:rsid w:val="00163F5C"/>
    <w:rsid w:val="001879E6"/>
    <w:rsid w:val="002864C6"/>
    <w:rsid w:val="00322A4E"/>
    <w:rsid w:val="0033040D"/>
    <w:rsid w:val="00366FD3"/>
    <w:rsid w:val="003918CE"/>
    <w:rsid w:val="003E44D1"/>
    <w:rsid w:val="00463B95"/>
    <w:rsid w:val="004C0BC1"/>
    <w:rsid w:val="00612294"/>
    <w:rsid w:val="00650522"/>
    <w:rsid w:val="006729C6"/>
    <w:rsid w:val="006E3B0B"/>
    <w:rsid w:val="00715A9E"/>
    <w:rsid w:val="00795CC9"/>
    <w:rsid w:val="00845E9D"/>
    <w:rsid w:val="0086073E"/>
    <w:rsid w:val="008D6A35"/>
    <w:rsid w:val="00960F1E"/>
    <w:rsid w:val="009B57DA"/>
    <w:rsid w:val="00A735E5"/>
    <w:rsid w:val="00AD114A"/>
    <w:rsid w:val="00B25172"/>
    <w:rsid w:val="00B621A8"/>
    <w:rsid w:val="00B63EFE"/>
    <w:rsid w:val="00B951FD"/>
    <w:rsid w:val="00BB24ED"/>
    <w:rsid w:val="00BB58AC"/>
    <w:rsid w:val="00C47283"/>
    <w:rsid w:val="00C57481"/>
    <w:rsid w:val="00C7130C"/>
    <w:rsid w:val="00C85F20"/>
    <w:rsid w:val="00D17F2E"/>
    <w:rsid w:val="00D53309"/>
    <w:rsid w:val="00DA781F"/>
    <w:rsid w:val="00DE6AD5"/>
    <w:rsid w:val="00F348F0"/>
    <w:rsid w:val="00F35D9D"/>
    <w:rsid w:val="00F50597"/>
    <w:rsid w:val="00FD2CCA"/>
    <w:rsid w:val="00FD3009"/>
    <w:rsid w:val="00FF1CA7"/>
    <w:rsid w:val="01321512"/>
    <w:rsid w:val="01453263"/>
    <w:rsid w:val="01BB3CD7"/>
    <w:rsid w:val="03AA4003"/>
    <w:rsid w:val="040B7FAD"/>
    <w:rsid w:val="05404C1F"/>
    <w:rsid w:val="05C07074"/>
    <w:rsid w:val="06072C09"/>
    <w:rsid w:val="06EC66E0"/>
    <w:rsid w:val="07603356"/>
    <w:rsid w:val="07B737E1"/>
    <w:rsid w:val="08493DEA"/>
    <w:rsid w:val="0A6B7BDA"/>
    <w:rsid w:val="0AF9109F"/>
    <w:rsid w:val="0B8A532E"/>
    <w:rsid w:val="0ECB2513"/>
    <w:rsid w:val="0FBB22DD"/>
    <w:rsid w:val="10876FE7"/>
    <w:rsid w:val="129C6D40"/>
    <w:rsid w:val="14661880"/>
    <w:rsid w:val="14996A51"/>
    <w:rsid w:val="154047C7"/>
    <w:rsid w:val="156278AF"/>
    <w:rsid w:val="15777441"/>
    <w:rsid w:val="15D91A84"/>
    <w:rsid w:val="15EA4F92"/>
    <w:rsid w:val="170535D2"/>
    <w:rsid w:val="172D33F1"/>
    <w:rsid w:val="182F6603"/>
    <w:rsid w:val="19267830"/>
    <w:rsid w:val="1AE57390"/>
    <w:rsid w:val="1B285170"/>
    <w:rsid w:val="1B4E4189"/>
    <w:rsid w:val="1B5508A0"/>
    <w:rsid w:val="1B694D12"/>
    <w:rsid w:val="1BC5537A"/>
    <w:rsid w:val="1CF60969"/>
    <w:rsid w:val="1D4C369E"/>
    <w:rsid w:val="1EC00355"/>
    <w:rsid w:val="1F2D2797"/>
    <w:rsid w:val="207B2B57"/>
    <w:rsid w:val="20C21520"/>
    <w:rsid w:val="210E01BE"/>
    <w:rsid w:val="21F91F85"/>
    <w:rsid w:val="221D20F7"/>
    <w:rsid w:val="222235CB"/>
    <w:rsid w:val="23996477"/>
    <w:rsid w:val="23E45806"/>
    <w:rsid w:val="249D12EE"/>
    <w:rsid w:val="24FD1D8D"/>
    <w:rsid w:val="25A12A6D"/>
    <w:rsid w:val="262C4130"/>
    <w:rsid w:val="26EE796E"/>
    <w:rsid w:val="275E49DE"/>
    <w:rsid w:val="2769195B"/>
    <w:rsid w:val="2994507C"/>
    <w:rsid w:val="2ABC7FF4"/>
    <w:rsid w:val="2B473D61"/>
    <w:rsid w:val="2B4D4A0F"/>
    <w:rsid w:val="2BC730F4"/>
    <w:rsid w:val="2EC659BD"/>
    <w:rsid w:val="2FA17993"/>
    <w:rsid w:val="3062043F"/>
    <w:rsid w:val="30AD3274"/>
    <w:rsid w:val="30FF7B5C"/>
    <w:rsid w:val="31361735"/>
    <w:rsid w:val="31F108E6"/>
    <w:rsid w:val="32172601"/>
    <w:rsid w:val="334B63B9"/>
    <w:rsid w:val="33501A8D"/>
    <w:rsid w:val="3562120C"/>
    <w:rsid w:val="35B42E83"/>
    <w:rsid w:val="35C4598D"/>
    <w:rsid w:val="36161424"/>
    <w:rsid w:val="38C62D46"/>
    <w:rsid w:val="39643D30"/>
    <w:rsid w:val="3A611DB4"/>
    <w:rsid w:val="3A8E0DD5"/>
    <w:rsid w:val="3AB94550"/>
    <w:rsid w:val="3AEA2BEF"/>
    <w:rsid w:val="3BA448B8"/>
    <w:rsid w:val="3CDE3DFA"/>
    <w:rsid w:val="3CF61143"/>
    <w:rsid w:val="3F195B49"/>
    <w:rsid w:val="3F74620D"/>
    <w:rsid w:val="3FA70E1B"/>
    <w:rsid w:val="40C90989"/>
    <w:rsid w:val="413B76AF"/>
    <w:rsid w:val="41C07F72"/>
    <w:rsid w:val="421C0031"/>
    <w:rsid w:val="42BA6C89"/>
    <w:rsid w:val="430F7596"/>
    <w:rsid w:val="44C32148"/>
    <w:rsid w:val="45B87574"/>
    <w:rsid w:val="489C0441"/>
    <w:rsid w:val="48F13107"/>
    <w:rsid w:val="48F51F3E"/>
    <w:rsid w:val="49342142"/>
    <w:rsid w:val="4A9733BD"/>
    <w:rsid w:val="4AF2278F"/>
    <w:rsid w:val="4B1223EE"/>
    <w:rsid w:val="4B663938"/>
    <w:rsid w:val="4E6C1FAA"/>
    <w:rsid w:val="4ECF344E"/>
    <w:rsid w:val="50836D3A"/>
    <w:rsid w:val="52243475"/>
    <w:rsid w:val="54B83F4D"/>
    <w:rsid w:val="560146BF"/>
    <w:rsid w:val="56242D6E"/>
    <w:rsid w:val="569A22A0"/>
    <w:rsid w:val="56A966E5"/>
    <w:rsid w:val="57DC32D5"/>
    <w:rsid w:val="57DD1426"/>
    <w:rsid w:val="58813029"/>
    <w:rsid w:val="58E30CBE"/>
    <w:rsid w:val="594D6137"/>
    <w:rsid w:val="59836D38"/>
    <w:rsid w:val="59BC5CF2"/>
    <w:rsid w:val="59FE7432"/>
    <w:rsid w:val="5A584D94"/>
    <w:rsid w:val="5BAB5884"/>
    <w:rsid w:val="5C0F3B78"/>
    <w:rsid w:val="5E8A5738"/>
    <w:rsid w:val="5F2471FB"/>
    <w:rsid w:val="5FB16B5C"/>
    <w:rsid w:val="5FB213EA"/>
    <w:rsid w:val="60374270"/>
    <w:rsid w:val="604069F6"/>
    <w:rsid w:val="604272DE"/>
    <w:rsid w:val="607D2A42"/>
    <w:rsid w:val="62992B6E"/>
    <w:rsid w:val="63035B5A"/>
    <w:rsid w:val="631B69F2"/>
    <w:rsid w:val="639A641D"/>
    <w:rsid w:val="63A469EA"/>
    <w:rsid w:val="643D1673"/>
    <w:rsid w:val="646B37CD"/>
    <w:rsid w:val="64F3558A"/>
    <w:rsid w:val="65817895"/>
    <w:rsid w:val="6626043C"/>
    <w:rsid w:val="66361602"/>
    <w:rsid w:val="66E63727"/>
    <w:rsid w:val="691F746E"/>
    <w:rsid w:val="6A5E180A"/>
    <w:rsid w:val="6B15292B"/>
    <w:rsid w:val="6B656B5C"/>
    <w:rsid w:val="6B982677"/>
    <w:rsid w:val="6B9C2C1E"/>
    <w:rsid w:val="6C7843B5"/>
    <w:rsid w:val="6D150B82"/>
    <w:rsid w:val="6D596E90"/>
    <w:rsid w:val="6F31233E"/>
    <w:rsid w:val="70FB534E"/>
    <w:rsid w:val="71CF5FA5"/>
    <w:rsid w:val="720620FB"/>
    <w:rsid w:val="723366C9"/>
    <w:rsid w:val="72B17722"/>
    <w:rsid w:val="7368673A"/>
    <w:rsid w:val="73D62AD0"/>
    <w:rsid w:val="73FE47A6"/>
    <w:rsid w:val="76466F18"/>
    <w:rsid w:val="76780840"/>
    <w:rsid w:val="77933457"/>
    <w:rsid w:val="78413640"/>
    <w:rsid w:val="78462278"/>
    <w:rsid w:val="79A90D10"/>
    <w:rsid w:val="7A622A67"/>
    <w:rsid w:val="7B821819"/>
    <w:rsid w:val="7C5B0C23"/>
    <w:rsid w:val="7CC441D4"/>
    <w:rsid w:val="7CC6656F"/>
    <w:rsid w:val="7D20578D"/>
    <w:rsid w:val="7DFF610B"/>
    <w:rsid w:val="7E8776DE"/>
    <w:rsid w:val="7F6D27E0"/>
    <w:rsid w:val="7FD3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60" w:lineRule="auto"/>
      <w:ind w:firstLine="200" w:firstLineChars="20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List Paragraph"/>
    <w:basedOn w:val="1"/>
    <w:unhideWhenUsed/>
    <w:qFormat/>
    <w:uiPriority w:val="99"/>
    <w:pPr>
      <w:ind w:firstLine="420"/>
    </w:pPr>
  </w:style>
  <w:style w:type="paragraph" w:customStyle="1" w:styleId="9">
    <w:name w:val="修订1"/>
    <w:hidden/>
    <w:unhideWhenUsed/>
    <w:qFormat/>
    <w:uiPriority w:val="99"/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paragraph" w:customStyle="1" w:styleId="10">
    <w:name w:val="修订2"/>
    <w:hidden/>
    <w:unhideWhenUsed/>
    <w:qFormat/>
    <w:uiPriority w:val="99"/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paragraph" w:customStyle="1" w:styleId="11">
    <w:name w:val="修订3"/>
    <w:hidden/>
    <w:unhideWhenUsed/>
    <w:qFormat/>
    <w:uiPriority w:val="99"/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customStyle="1" w:styleId="12">
    <w:name w:val="页脚 字符"/>
    <w:basedOn w:val="7"/>
    <w:link w:val="3"/>
    <w:qFormat/>
    <w:uiPriority w:val="99"/>
    <w:rPr>
      <w:rFonts w:eastAsia="仿宋"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3086</Words>
  <Characters>3110</Characters>
  <Lines>82</Lines>
  <Paragraphs>54</Paragraphs>
  <TotalTime>3</TotalTime>
  <ScaleCrop>false</ScaleCrop>
  <LinksUpToDate>false</LinksUpToDate>
  <CharactersWithSpaces>3112</CharactersWithSpaces>
  <Application>WPS Office_12.1.0.26375_F1E327BC-269C-435d-A152-05C5408002CA</Application>
  <DocSecurity>1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2026-04-20T06:40:00Z</dcterms:created>
  <dc:creator>初见</dc:creator>
  <cp:lastModifiedBy>开心果</cp:lastModifiedBy>
  <cp:lastPrinted>2026-05-12T07:05:00Z</cp:lastPrinted>
  <dcterms:modified xsi:type="dcterms:W3CDTF">2026-05-29T08:33:34Z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324BC2FF96824300A1B0A5E65234DE2F_13</vt:lpwstr>
  </property>
  <property fmtid="{D5CDD505-2E9C-101B-9397-08002B2CF9AE}" pid="4" name="KSOTemplateDocerSaveRecord">
    <vt:lpwstr>eyJoZGlkIjoiMmRhOTQ1ODgwNGJlNDdhMWYyMzYwNTI2MDdmMmM4MWQiLCJ1c2VySWQiOiIzNTQyMjIwODIifQ==</vt:lpwstr>
  </property>
</Properties>
</file>