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B077">
      <w:pPr>
        <w:autoSpaceDE w:val="0"/>
        <w:spacing w:line="360" w:lineRule="auto"/>
        <w:ind w:firstLine="720" w:firstLineChars="200"/>
        <w:jc w:val="center"/>
        <w:rPr>
          <w:rFonts w:hint="eastAsia" w:ascii="黑体" w:hAnsi="宋体" w:eastAsia="黑体" w:cs="黑体"/>
          <w:sz w:val="36"/>
          <w:szCs w:val="36"/>
        </w:rPr>
      </w:pPr>
      <w:bookmarkStart w:id="0" w:name="_GoBack"/>
      <w:bookmarkEnd w:id="0"/>
      <w:r>
        <w:rPr>
          <w:rFonts w:hint="eastAsia" w:ascii="方正小标宋简体" w:hAnsi="方正小标宋简体" w:eastAsia="方正小标宋简体" w:cs="方正小标宋简体"/>
          <w:sz w:val="36"/>
          <w:szCs w:val="36"/>
          <w:lang w:bidi="ar"/>
        </w:rPr>
        <w:t>2026年全国教育科学规划学科建设与研究生培养研究专项指南</w:t>
      </w:r>
    </w:p>
    <w:p w14:paraId="4C673E09">
      <w:pPr>
        <w:autoSpaceDE w:val="0"/>
        <w:spacing w:line="360" w:lineRule="auto"/>
        <w:ind w:firstLine="640" w:firstLineChars="200"/>
        <w:jc w:val="left"/>
        <w:rPr>
          <w:rFonts w:hint="eastAsia" w:ascii="黑体" w:hAnsi="黑体" w:eastAsia="黑体" w:cs="黑体"/>
          <w:sz w:val="32"/>
          <w:szCs w:val="32"/>
          <w:lang w:bidi="ar"/>
        </w:rPr>
      </w:pPr>
    </w:p>
    <w:p w14:paraId="4FBC8D8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ascii="Times New Roman" w:hAnsi="Times New Roman" w:eastAsia="仿宋_GB2312"/>
          <w:color w:val="auto"/>
          <w:sz w:val="32"/>
          <w:szCs w:val="32"/>
          <w:highlight w:val="none"/>
          <w:lang w:eastAsia="zh"/>
        </w:rPr>
        <w:t>学科建设与研究生培养研究</w:t>
      </w:r>
      <w:r>
        <w:rPr>
          <w:rFonts w:ascii="Times New Roman" w:hAnsi="Times New Roman" w:eastAsia="仿宋_GB2312"/>
          <w:color w:val="auto"/>
          <w:sz w:val="32"/>
          <w:szCs w:val="32"/>
          <w:highlight w:val="none"/>
        </w:rPr>
        <w:t>专项</w:t>
      </w:r>
      <w:r>
        <w:rPr>
          <w:rFonts w:ascii="仿宋_GB2312" w:hAnsi="仿宋_GB2312" w:eastAsia="仿宋_GB2312" w:cs="仿宋_GB2312"/>
          <w:color w:val="auto"/>
          <w:sz w:val="32"/>
          <w:szCs w:val="32"/>
          <w:highlight w:val="none"/>
          <w:lang w:bidi="ar"/>
        </w:rPr>
        <w:t>包括重点和一般项目。申报专项须从指南中选题，并按照指南意图进行研究设计。如确有需要，可对指南意图进行适当微调，但不得大幅压缩或改变研究内容。自拟选题不予受理。研究期限为1-3年，不得延期。每个选题原则上只确立1个立项项目。</w:t>
      </w:r>
    </w:p>
    <w:p w14:paraId="2E5B3DC2">
      <w:pPr>
        <w:autoSpaceDE w:val="0"/>
        <w:spacing w:line="360" w:lineRule="auto"/>
        <w:ind w:firstLine="640" w:firstLineChars="200"/>
        <w:jc w:val="left"/>
        <w:rPr>
          <w:rFonts w:hint="eastAsia" w:ascii="黑体" w:hAnsi="黑体" w:eastAsia="黑体" w:cs="黑体"/>
          <w:color w:val="auto"/>
          <w:sz w:val="32"/>
          <w:szCs w:val="32"/>
          <w:highlight w:val="none"/>
          <w:lang w:bidi="ar"/>
        </w:rPr>
      </w:pPr>
    </w:p>
    <w:p w14:paraId="2863C6EC">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1.人机共生理念下人工智能重塑大学与学科评价体系的路径研究（重点）</w:t>
      </w:r>
    </w:p>
    <w:p w14:paraId="4753E846">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梳理传统大学与学科评价范式的核心痛点及技术瓶颈，聚焦新时代教育评价改革“破五唯”和分类评价要求，研究人工智能赋能高等教育评价范式转型的现实需求与适配条件；（2）总结国内外运用人工智能赋能大学和学科评价的典型案例及实践经验，提炼可复制的技术路径与治理模式；（3）立足中国高等教育实际，围绕评价导向、评价逻辑、评价维度、评价方法、治理范式等要素，构建基于人工智能的大学和学科评价新范式；（4）研究人工智能驱动评价范式改革的落地应用路径与政策保障。</w:t>
      </w:r>
    </w:p>
    <w:p w14:paraId="0EBC3EB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2.教育科技人才一体化推进中的“双一流”建设分类评价体系与资源配置研究（一般）</w:t>
      </w:r>
    </w:p>
    <w:p w14:paraId="4032041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分析我国“双一流”建设分类评价体系与资源配置的现状、存在的主要问题（如评价指标与一体化发展结合不够紧密、资源配置导向不够鲜明等），深入剖析制约教育科技人才一体化深度融合的核心影响因素；（2）围绕教育科技人才一体化的内在要求，聚焦“双一流”建设分类评价体系优化（如分类评价、贡献导向评价等）与资源配置机制创新（如动态调整、交叉学科倾斜、人才—平台—项目联动等），研究提出促进“双一流”建设高质量发展的评价与资源配置协同的政策建议。</w:t>
      </w:r>
    </w:p>
    <w:p w14:paraId="50320C90">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3.智能</w:t>
      </w:r>
      <w:r>
        <w:rPr>
          <w:rFonts w:ascii="黑体" w:hAnsi="黑体" w:eastAsia="黑体" w:cs="黑体"/>
          <w:color w:val="auto"/>
          <w:sz w:val="32"/>
          <w:szCs w:val="32"/>
          <w:highlight w:val="none"/>
          <w:lang w:bidi="ar"/>
        </w:rPr>
        <w:t>时代研究生教育学科专业设置调整的逻辑和机制研究</w:t>
      </w:r>
      <w:r>
        <w:rPr>
          <w:rFonts w:hint="eastAsia" w:ascii="黑体" w:hAnsi="黑体" w:eastAsia="黑体" w:cs="黑体"/>
          <w:color w:val="auto"/>
          <w:sz w:val="32"/>
          <w:szCs w:val="32"/>
          <w:highlight w:val="none"/>
          <w:lang w:bidi="ar"/>
        </w:rPr>
        <w:t>（一般）</w:t>
      </w:r>
    </w:p>
    <w:p w14:paraId="072F879E">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智能时代背景下研究生教育学科专业设置调整的经验做法、推进逻辑；（2）调研分析我国高校研究生教育学科专业设置调整的现状、面临的主要问题（如调整动力不足、学科专业壁垒较强、与智能时代人才需求脱节等），深入剖析制约动态调整的核心影响因素；（3）围绕智能时代对学科专业快速响应、交叉融合、动态更新的新要求，聚焦学科专业设置调整的内在逻辑（如需求导向、知识逻辑、产业逻辑等）、动态调整机制（如预警、增设、退出等）以及政策保障体系，研究提出研究生教育学科专业设置调整的优化路径与政策建议。</w:t>
      </w:r>
    </w:p>
    <w:p w14:paraId="7ACC344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4.</w:t>
      </w:r>
      <w:r>
        <w:rPr>
          <w:rFonts w:ascii="黑体" w:hAnsi="黑体" w:eastAsia="黑体" w:cs="黑体"/>
          <w:color w:val="auto"/>
          <w:sz w:val="32"/>
          <w:szCs w:val="32"/>
          <w:highlight w:val="none"/>
          <w:lang w:bidi="ar"/>
        </w:rPr>
        <w:t>大科学时代</w:t>
      </w:r>
      <w:r>
        <w:rPr>
          <w:rFonts w:hint="eastAsia" w:ascii="黑体" w:hAnsi="黑体" w:eastAsia="黑体" w:cs="黑体"/>
          <w:color w:val="auto"/>
          <w:sz w:val="32"/>
          <w:szCs w:val="32"/>
          <w:highlight w:val="none"/>
          <w:lang w:bidi="ar"/>
        </w:rPr>
        <w:t>背景下促进</w:t>
      </w:r>
      <w:r>
        <w:rPr>
          <w:rFonts w:ascii="黑体" w:hAnsi="黑体" w:eastAsia="黑体" w:cs="黑体"/>
          <w:color w:val="auto"/>
          <w:sz w:val="32"/>
          <w:szCs w:val="32"/>
          <w:highlight w:val="none"/>
          <w:lang w:bidi="ar"/>
        </w:rPr>
        <w:t>学科交叉融合的评价</w:t>
      </w:r>
      <w:r>
        <w:rPr>
          <w:rFonts w:hint="eastAsia" w:ascii="黑体" w:hAnsi="黑体" w:eastAsia="黑体" w:cs="黑体"/>
          <w:color w:val="auto"/>
          <w:sz w:val="32"/>
          <w:szCs w:val="32"/>
          <w:highlight w:val="none"/>
          <w:lang w:bidi="ar"/>
        </w:rPr>
        <w:t>体系</w:t>
      </w:r>
      <w:r>
        <w:rPr>
          <w:rFonts w:ascii="黑体" w:hAnsi="黑体" w:eastAsia="黑体" w:cs="黑体"/>
          <w:color w:val="auto"/>
          <w:sz w:val="32"/>
          <w:szCs w:val="32"/>
          <w:highlight w:val="none"/>
          <w:lang w:bidi="ar"/>
        </w:rPr>
        <w:t>改革研究</w:t>
      </w:r>
      <w:r>
        <w:rPr>
          <w:rFonts w:hint="eastAsia" w:ascii="黑体" w:hAnsi="黑体" w:eastAsia="黑体" w:cs="黑体"/>
          <w:color w:val="auto"/>
          <w:sz w:val="32"/>
          <w:szCs w:val="32"/>
          <w:highlight w:val="none"/>
          <w:lang w:bidi="ar"/>
        </w:rPr>
        <w:t>（一般）</w:t>
      </w:r>
    </w:p>
    <w:p w14:paraId="0F84F2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分析梳理主要发达国家在大科学背景下推动学科交叉融合评价体系改革方面的典型做法与成功经验；（2）调研分析我国高校及科研机构推进学科交叉融合评价改革的现状、面临的主要障碍（如评价标准单一、交叉成果认可度低、团队贡献难以合理分配等），深入剖析制约学科交叉融合评价改革落地的核心影响因素；（3）围绕大科学时代学科交叉融合的跨学科性、协同性与不确定性，聚焦评价指标体系、分类与长周期评价机制、团队贡献与成果归属认定，以及评价结果与资源配置的联动等方面，研究提出推动学科交叉融合评价改革的路径与建议。</w:t>
      </w:r>
    </w:p>
    <w:p w14:paraId="36DD9BA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5.人工智能赋能研究生教育治理与决策（一般）</w:t>
      </w:r>
    </w:p>
    <w:p w14:paraId="1869FA3E">
      <w:pPr>
        <w:spacing w:line="360" w:lineRule="auto"/>
        <w:ind w:firstLine="640" w:firstLineChars="200"/>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Times New Roman" w:hAnsi="Times New Roman" w:eastAsia="仿宋_GB2312" w:cs="Times New Roman"/>
          <w:color w:val="auto"/>
          <w:sz w:val="32"/>
          <w:szCs w:val="32"/>
          <w:highlight w:val="none"/>
        </w:rPr>
        <w:t>（1）系统分析人工智能时代研究生教育治理在“技术快变与人才慢育”、“规模激增与质量保障”、“空间扩展与资源受限”三大维度面临的深层矛盾，精准识别从经验驱动向数据智能驱动转型的制度性、技术性障碍，论证构建服务于宏观决策与精准调控的“管理驾驶舱”的紧迫性与战略价值；（2）聚焦服务多层级（部、省、校、院）决策的根本目标，设计“研究生教育管理驾驶舱”的整体架构、数据底座与核心指标体系；（3）在典型区域和高校开展“管理驾驶舱”原型系统的试点应用，评估其在提升治理精准性、响应及时性与决策科学性方面的效能。总结凝练可复制、可推广的建设标准、运行规范与协同机制，为规模化应用提供实践范式。</w:t>
      </w:r>
    </w:p>
    <w:p w14:paraId="0A2A53AA">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6.医学专业学位研究生教育医教协同机制优化研究（一般）</w:t>
      </w:r>
    </w:p>
    <w:p w14:paraId="21CE62EF">
      <w:pPr>
        <w:autoSpaceDE w:val="0"/>
        <w:spacing w:line="360" w:lineRule="auto"/>
        <w:ind w:firstLine="640" w:firstLineChars="200"/>
        <w:jc w:val="left"/>
        <w:rPr>
          <w:rFonts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医学专业学位研究生教育医教协同改革以来的政策实施成效；（2）调研分析医学专业学位研究生教育在招生、培养、师资、投入保障、质量评价、管理制度等方面的现实问题及影响因素；（3）研究提出医学专业学位研究生教育医教协同优化机制与政策建议。</w:t>
      </w:r>
    </w:p>
    <w:p w14:paraId="66D472D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7.</w:t>
      </w:r>
      <w:r>
        <w:rPr>
          <w:rFonts w:ascii="黑体" w:hAnsi="黑体" w:eastAsia="黑体" w:cs="黑体"/>
          <w:color w:val="auto"/>
          <w:sz w:val="32"/>
          <w:szCs w:val="32"/>
          <w:highlight w:val="none"/>
          <w:lang w:bidi="ar"/>
        </w:rPr>
        <w:t>卓越工程师本研一体、融通培养机制研究</w:t>
      </w:r>
      <w:r>
        <w:rPr>
          <w:rFonts w:hint="eastAsia" w:ascii="黑体" w:hAnsi="黑体" w:eastAsia="黑体" w:cs="黑体"/>
          <w:color w:val="auto"/>
          <w:sz w:val="32"/>
          <w:szCs w:val="32"/>
          <w:highlight w:val="none"/>
          <w:lang w:bidi="ar"/>
        </w:rPr>
        <w:t>（一般）</w:t>
      </w:r>
    </w:p>
    <w:p w14:paraId="506A654B">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研究主要发达国家战略急需领域拔尖创新人才本研一体、融通培养的典型案例和成功经验；（2）调研分析我国战略急需领域，特别是卓越工程师产教融合培养改革等国家战略人才本研一体、融通培养的现状和学制、课程、培养方案、培养模式等方面的问题以及主要影响因素；（3）提出卓越工程师本研一体、融通培养的6年制本硕、8年制本博改革实践路径及政策建议。</w:t>
      </w:r>
    </w:p>
    <w:p w14:paraId="09407CA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8.学科交叉导向下项目制人才培养模式与质量保障机制研究（一般）</w:t>
      </w:r>
    </w:p>
    <w:p w14:paraId="225D2B4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分析梳理主要发达国家跨学科项目制人才培养的典型模式和有关经验；（2）调研分析国内“博士+硕士”双学位试点项目、国家急需高层次人才培养专项等的实施现状、特点与面临困难；（3）研究提出完善双学位培养机制保障项目实施和学位授予质量的政策建议。</w:t>
      </w:r>
    </w:p>
    <w:p w14:paraId="7EFE5023">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9.</w:t>
      </w:r>
      <w:r>
        <w:rPr>
          <w:rFonts w:ascii="黑体" w:hAnsi="黑体" w:eastAsia="黑体" w:cs="黑体"/>
          <w:color w:val="auto"/>
          <w:sz w:val="32"/>
          <w:szCs w:val="32"/>
          <w:highlight w:val="none"/>
          <w:lang w:bidi="ar"/>
        </w:rPr>
        <w:t>研究生申请学位前置条件优化路径研究</w:t>
      </w:r>
      <w:r>
        <w:rPr>
          <w:rFonts w:hint="eastAsia" w:ascii="黑体" w:hAnsi="黑体" w:eastAsia="黑体" w:cs="黑体"/>
          <w:color w:val="auto"/>
          <w:sz w:val="32"/>
          <w:szCs w:val="32"/>
          <w:highlight w:val="none"/>
          <w:lang w:bidi="ar"/>
        </w:rPr>
        <w:t>（一般）</w:t>
      </w:r>
    </w:p>
    <w:p w14:paraId="3634B810">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梳理主要发达国家学位申请的前置条件设置，包括学术标准、实践能力、科研素养等；（2）调研我国现行学位申请的前置条件设置情况，分析在学分要求、实践环节、成果认定等方面存在的问题及其对人才培养质量的影响；（3）研究提出适应不同类别研究生申请学位前置条件优化路径，并形成可操作的政策建议。</w:t>
      </w:r>
    </w:p>
    <w:p w14:paraId="5D094F7F">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10.</w:t>
      </w:r>
      <w:r>
        <w:rPr>
          <w:rFonts w:ascii="黑体" w:hAnsi="黑体" w:eastAsia="黑体" w:cs="黑体"/>
          <w:color w:val="auto"/>
          <w:sz w:val="32"/>
          <w:szCs w:val="32"/>
          <w:highlight w:val="none"/>
          <w:lang w:bidi="ar"/>
        </w:rPr>
        <w:t>研究生培养质量提升路径与保障机制研究</w:t>
      </w:r>
      <w:r>
        <w:rPr>
          <w:rFonts w:hint="eastAsia" w:ascii="黑体" w:hAnsi="黑体" w:eastAsia="黑体" w:cs="黑体"/>
          <w:color w:val="auto"/>
          <w:sz w:val="32"/>
          <w:szCs w:val="32"/>
          <w:highlight w:val="none"/>
          <w:lang w:bidi="ar"/>
        </w:rPr>
        <w:t>（一般）</w:t>
      </w:r>
    </w:p>
    <w:p w14:paraId="5C970323">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ascii="仿宋_GB2312" w:hAnsi="仿宋_GB2312" w:eastAsia="仿宋_GB2312" w:cs="仿宋_GB2312"/>
          <w:color w:val="auto"/>
          <w:sz w:val="32"/>
          <w:szCs w:val="32"/>
          <w:highlight w:val="none"/>
          <w:lang w:bidi="ar"/>
        </w:rPr>
        <w:t>（1）分析梳理世界主要发达国家及国内高水平大学研究生培养质量提升的典型案例和成功经验；（2）调研分析我国高校研究生培养的现状、面临的主要问题，深入剖析核心影响因素；（3）围绕研究生培养全过程，聚焦课程教学、分流与延期、导学关系等方面，研究提出研究生培养质量提升路径和政策建议。</w:t>
      </w:r>
    </w:p>
    <w:p w14:paraId="41506F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11.研究生思政教育与专业培养深度融合的路径优化研究（一般）</w:t>
      </w:r>
    </w:p>
    <w:p w14:paraId="4B4835E1">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阐释研究生思政教育与专业培养深度融合的内在逻辑与理论基础；（2）调研分析研究生思政、科研、实践深度融合现状、面临问题及主要影响因素；（3）提出推动研究生思政教育与专业培养深度融合的优化路径。</w:t>
      </w:r>
    </w:p>
    <w:p w14:paraId="0D8BAEA5">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12.冷门绝学学科建设现状与发展机制研究（一般）</w:t>
      </w:r>
    </w:p>
    <w:p w14:paraId="0E7B1E3D">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（1）系统梳理我国冷门绝学学科传承及发展的现状；（2）调研分析冷门绝学学科建设、人才培养及制度保障等方面面临的问题及影响因素；（3）提出冷门绝学发展的优化路径及政策建议。</w:t>
      </w:r>
    </w:p>
    <w:p w14:paraId="53180E39">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13.卓越工程师企业导师育人机制优化研究（一般）</w:t>
      </w:r>
    </w:p>
    <w:p w14:paraId="0C71219E">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调研典型高校卓越工程师培养中企业导师的选用机制和育人成效现状；（2）研究分析企业导师选用机制和育人过程中面临的问题及影响因素；（3）探索构建校企导师协同育人路径和企业导师育人能力模型；（4）提出多方协同的企业导师队伍建设支持机制及政策建议。</w:t>
      </w:r>
    </w:p>
    <w:p w14:paraId="3100D41E">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14.技术集群视域下科教融合培养研究生的协同机制研究（一般）</w:t>
      </w:r>
    </w:p>
    <w:p w14:paraId="40A53E47">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（1）研究分析高科技企业、大学、科研机构等技术集群效应的形成机理；（2）探索发挥技术集群效应、协同培养研究生的推进路径；（3）提出研究生培养协同推进机制与政策建议。</w:t>
      </w:r>
    </w:p>
    <w:p w14:paraId="23DF0F82">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15.全球视野下产业急需人才培养模式研究（一般）</w:t>
      </w:r>
    </w:p>
    <w:p w14:paraId="0C0E6CE4">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系统追踪欧美等发达经济体在集成电路、人工智能、生物制造等关键战略领域的人才政策与产教融合机制；（2）深入开展产教协同模式、课程体系重构、能力标准对接等专题比较研究；（3）剖析全球产业需求演变与教育供给创新的互动规律，研究成果产出和产业转化有效路径；（4）提出服务我国工程硕博士等重点领域培养改革的具体措施和政策建议。</w:t>
      </w:r>
    </w:p>
    <w:p w14:paraId="2C256A01">
      <w:pPr>
        <w:autoSpaceDE w:val="0"/>
        <w:spacing w:line="360" w:lineRule="auto"/>
        <w:ind w:firstLine="640" w:firstLineChars="200"/>
        <w:jc w:val="left"/>
        <w:rPr>
          <w:rFonts w:hint="eastAsia" w:ascii="黑体" w:hAnsi="黑体" w:eastAsia="黑体" w:cs="黑体"/>
          <w:color w:val="auto"/>
          <w:sz w:val="32"/>
          <w:szCs w:val="32"/>
          <w:highlight w:val="none"/>
          <w:lang w:bidi="ar"/>
        </w:rPr>
      </w:pPr>
      <w:r>
        <w:rPr>
          <w:rFonts w:hint="eastAsia" w:ascii="黑体" w:hAnsi="黑体" w:eastAsia="黑体" w:cs="黑体"/>
          <w:color w:val="auto"/>
          <w:sz w:val="32"/>
          <w:szCs w:val="32"/>
          <w:highlight w:val="none"/>
          <w:lang w:bidi="ar"/>
        </w:rPr>
        <w:t>16.高等学校研究生教育数据治理标准体系研究（一般）</w:t>
      </w:r>
    </w:p>
    <w:p w14:paraId="41751465">
      <w:pPr>
        <w:autoSpaceDE w:val="0"/>
        <w:spacing w:line="360" w:lineRule="auto"/>
        <w:ind w:firstLine="640" w:firstLineChars="200"/>
        <w:jc w:val="left"/>
        <w:rPr>
          <w:rFonts w:hint="eastAsia" w:ascii="仿宋_GB2312" w:hAnsi="仿宋_GB2312" w:eastAsia="仿宋_GB2312" w:cs="仿宋_GB2312"/>
          <w:color w:val="auto"/>
          <w:sz w:val="32"/>
          <w:szCs w:val="32"/>
          <w:highlight w:val="none"/>
          <w:lang w:bidi="ar"/>
        </w:rPr>
      </w:pPr>
      <w:r>
        <w:rPr>
          <w:rFonts w:hint="eastAsia" w:ascii="楷体_GB2312" w:hAnsi="楷体_GB2312" w:eastAsia="楷体_GB2312" w:cs="楷体_GB2312"/>
          <w:color w:val="auto"/>
          <w:sz w:val="32"/>
          <w:szCs w:val="32"/>
          <w:highlight w:val="none"/>
        </w:rPr>
        <w:t>指南意图：</w:t>
      </w:r>
      <w:r>
        <w:rPr>
          <w:rFonts w:hint="eastAsia" w:ascii="仿宋_GB2312" w:hAnsi="仿宋_GB2312" w:eastAsia="仿宋_GB2312" w:cs="仿宋_GB2312"/>
          <w:color w:val="auto"/>
          <w:sz w:val="32"/>
          <w:szCs w:val="32"/>
          <w:highlight w:val="none"/>
          <w:lang w:bidi="ar"/>
        </w:rPr>
        <w:t>（1）明确数智时代高等学校研究生教育数据治理标准体系的内容框架，构建高等学校研究生数据治理质量的评估模型；（2）形成高等学校研究生数据治理的行业标准。</w:t>
      </w:r>
    </w:p>
    <w:p w14:paraId="0D785EEB">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52833"/>
      <w:docPartObj>
        <w:docPartGallery w:val="autotext"/>
      </w:docPartObj>
    </w:sdtPr>
    <w:sdtEndPr>
      <w:rPr>
        <w:rFonts w:ascii="Times New Roman" w:hAnsi="Times New Roman" w:cs="Times New Roman"/>
        <w:sz w:val="22"/>
        <w:szCs w:val="22"/>
      </w:rPr>
    </w:sdtEndPr>
    <w:sdtContent>
      <w:p w14:paraId="4F49A0DB">
        <w:pPr>
          <w:pStyle w:val="2"/>
          <w:jc w:val="center"/>
          <w:rPr>
            <w:rFonts w:ascii="Times New Roman" w:hAnsi="Times New Roman" w:cs="Times New Roman"/>
            <w:sz w:val="22"/>
            <w:szCs w:val="22"/>
          </w:rPr>
        </w:pPr>
        <w:r>
          <w:rPr>
            <w:rFonts w:hint="eastAsia"/>
          </w:rPr>
          <w:t>—</w:t>
        </w: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w:t>
        </w:r>
        <w:r>
          <w:rPr>
            <w:rFonts w:ascii="Times New Roman" w:hAnsi="Times New Roman" w:cs="Times New Roman"/>
            <w:sz w:val="22"/>
            <w:szCs w:val="22"/>
          </w:rPr>
          <w:fldChar w:fldCharType="end"/>
        </w:r>
        <w:r>
          <w:rPr>
            <w:rFonts w:hint="eastAsia" w:ascii="Times New Roman" w:hAnsi="Times New Roman" w:cs="Times New Roman"/>
            <w:sz w:val="22"/>
            <w:szCs w:val="22"/>
          </w:rPr>
          <w:t>—</w:t>
        </w:r>
      </w:p>
    </w:sdtContent>
  </w:sdt>
  <w:p w14:paraId="169DF2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C0CC6"/>
    <w:rsid w:val="23AE0B4E"/>
    <w:rsid w:val="362C7493"/>
    <w:rsid w:val="3A0050C0"/>
    <w:rsid w:val="4AB4263E"/>
    <w:rsid w:val="607B75EF"/>
    <w:rsid w:val="622C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3197</Words>
  <Characters>3225</Characters>
  <Lines>0</Lines>
  <Paragraphs>0</Paragraphs>
  <TotalTime>0</TotalTime>
  <ScaleCrop>false</ScaleCrop>
  <LinksUpToDate>false</LinksUpToDate>
  <CharactersWithSpaces>3225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2026-05-25T07:49:00Z</dcterms:created>
  <dc:creator>姜雨婷</dc:creator>
  <cp:lastModifiedBy>开心果</cp:lastModifiedBy>
  <dcterms:modified xsi:type="dcterms:W3CDTF">2026-06-03T01:13:07Z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554E72D3B1424D21BA23FA6F530B22C5_13</vt:lpwstr>
  </property>
  <property fmtid="{D5CDD505-2E9C-101B-9397-08002B2CF9AE}" pid="4" name="KSOTemplateDocerSaveRecord">
    <vt:lpwstr>eyJoZGlkIjoiMmRhOTQ1ODgwNGJlNDdhMWYyMzYwNTI2MDdmMmM4MWQiLCJ1c2VySWQiOiIzNTQyMjIwODIifQ==</vt:lpwstr>
  </property>
</Properties>
</file>