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CF1A0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jc w:val="center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  <w:t>关于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hd w:val="clear" w:fill="FFFFFF"/>
          <w:lang w:val="en-US" w:eastAsia="zh-CN"/>
        </w:rPr>
        <w:t>刘蒙蒙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  <w:t>同志申报</w:t>
      </w:r>
      <w:r>
        <w:rPr>
          <w:rFonts w:hint="default" w:ascii="Times New Roman" w:hAnsi="Times New Roman" w:cs="Times New Roman"/>
          <w:i w:val="0"/>
          <w:iCs w:val="0"/>
          <w:caps w:val="0"/>
          <w:color w:val="0F1115"/>
          <w:spacing w:val="0"/>
          <w:shd w:val="clear" w:fill="FFFFFF"/>
          <w:lang w:val="en-US" w:eastAsia="zh-CN"/>
        </w:rPr>
        <w:t>202</w:t>
      </w:r>
      <w:r>
        <w:rPr>
          <w:rFonts w:hint="eastAsia" w:ascii="Times New Roman" w:hAnsi="Times New Roman" w:cs="Times New Roman"/>
          <w:i w:val="0"/>
          <w:iCs w:val="0"/>
          <w:caps w:val="0"/>
          <w:color w:val="0F1115"/>
          <w:spacing w:val="0"/>
          <w:shd w:val="clear" w:fill="FFFFFF"/>
          <w:lang w:val="en-US" w:eastAsia="zh-CN"/>
        </w:rPr>
        <w:t>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  <w:t>年度青年科技创新奖的提名公示</w:t>
      </w:r>
    </w:p>
    <w:p w14:paraId="12A1C194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A6ABCBE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《安徽省科学技术奖励办法》（省政府令第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330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号）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和《安徽省科学技术奖励办法实施细则》（皖科重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〔2026〕5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号）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要求，现将我单位拟提名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2025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年度青年科技创新奖的候选人情况予以公示。公示期为××年×月×日至××年×月×日（共×个工作日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）</w:t>
      </w:r>
    </w:p>
    <w:p w14:paraId="14C51F25">
      <w:pPr>
        <w:numPr>
          <w:ilvl w:val="0"/>
          <w:numId w:val="1"/>
        </w:numPr>
        <w:spacing w:line="360" w:lineRule="auto"/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候选人基本情况</w:t>
      </w:r>
    </w:p>
    <w:p w14:paraId="20D90317">
      <w:pPr>
        <w:numPr>
          <w:ilvl w:val="0"/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姓名：刘蒙蒙   性别：女   出生年月：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1993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年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月 从事专业：偏微分方程    </w:t>
      </w:r>
    </w:p>
    <w:p w14:paraId="6AE54B4B">
      <w:pPr>
        <w:numPr>
          <w:ilvl w:val="0"/>
          <w:numId w:val="0"/>
        </w:numPr>
        <w:spacing w:line="360" w:lineRule="auto"/>
        <w:ind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职称：副教授   工作单位：淮北师范大学数学与统计学院</w:t>
      </w:r>
    </w:p>
    <w:p w14:paraId="1BC2C4CF">
      <w:pPr>
        <w:numPr>
          <w:ilvl w:val="0"/>
          <w:numId w:val="0"/>
        </w:numPr>
        <w:spacing w:line="360" w:lineRule="auto"/>
        <w:ind w:firstLine="240" w:firstLineChars="10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受教育情况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：</w:t>
      </w:r>
    </w:p>
    <w:p w14:paraId="49EE6611">
      <w:pPr>
        <w:numPr>
          <w:ilvl w:val="0"/>
          <w:numId w:val="0"/>
        </w:numPr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2012.09-2016.06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新乡学院  信息与计算科学   </w:t>
      </w:r>
      <w:r>
        <w:rPr>
          <w:rFonts w:hint="eastAsia" w:ascii="宋体" w:hAnsi="宋体" w:eastAsia="宋体" w:cs="宋体"/>
          <w:sz w:val="24"/>
          <w:szCs w:val="24"/>
        </w:rPr>
        <w:t>学士</w:t>
      </w:r>
    </w:p>
    <w:p w14:paraId="4F0011BA">
      <w:pPr>
        <w:numPr>
          <w:ilvl w:val="0"/>
          <w:numId w:val="0"/>
        </w:num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2017.09-2022.06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福州大学     数学          博士</w:t>
      </w:r>
    </w:p>
    <w:p w14:paraId="5EC4FA8A">
      <w:pPr>
        <w:spacing w:line="360" w:lineRule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二、提名者及提名意见</w:t>
      </w:r>
    </w:p>
    <w:p w14:paraId="31F4EFEC">
      <w:pPr>
        <w:spacing w:line="360" w:lineRule="auto"/>
        <w:ind w:firstLine="481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提名者：淮北师范大学</w:t>
      </w:r>
    </w:p>
    <w:p w14:paraId="1068235A">
      <w:pPr>
        <w:spacing w:line="360" w:lineRule="auto"/>
        <w:ind w:firstLine="48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提名意见：</w:t>
      </w:r>
    </w:p>
    <w:p w14:paraId="5EC3855D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360" w:lineRule="auto"/>
        <w:ind w:left="0" w:right="0"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刘蒙蒙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同志长期从事复杂流体力学方程组数学理论的研究，在黏弹性流体、非牛顿流体及磁流体的稳定性与适定性问题方面取得了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重要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成果。主要技术成就和贡献包括：（1）针对黏弹性流体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Rayleigh-Bénard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对流问题，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首次从数学上严格证明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了夹板区域中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弹力对热不稳定性的抑制作用，并进一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步攻克上自由边界且与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与恒温的环境接触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的数学难题，完善了相关理论体系；（2）针对非牛顿流体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RB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对流与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RT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不稳定性问题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引入无量纲化与变分法相结合的分析框架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，系统建立了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Ellis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型与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Power-Law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型非牛顿流体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热对流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的稳定与不稳定性理论，严格给出临界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Rayleigh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数判据及非牛顿项指标的精确条件；（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）针对磁流体自由边界问题，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在不依赖泰勒符号和表面张力的条件下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建立全局适定性理论。</w:t>
      </w:r>
      <w:r>
        <w:rPr>
          <w:rFonts w:ascii="Times New Roman" w:hAnsi="Times New Roman"/>
          <w:sz w:val="24"/>
          <w:szCs w:val="24"/>
        </w:rPr>
        <w:t>相关成果发表高质量论文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余篇</w:t>
      </w:r>
      <w:r>
        <w:rPr>
          <w:rFonts w:hint="eastAsia" w:ascii="Times New Roman" w:hAnsi="Times New Roman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该同志恪守科研诚信，无科研不端行为。自入职安徽省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淮北师范大学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以来，主持国家自然科学基金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青年科学基金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项目，有力推动了所在单位数学学科的发展，为安徽省基础科学研究和人才培养做出了积极贡献。</w:t>
      </w:r>
    </w:p>
    <w:p w14:paraId="13F1E3B8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提名该同志为</w:t>
      </w:r>
      <w:r>
        <w:rPr>
          <w:rFonts w:hint="default" w:ascii="Times New Roman" w:hAnsi="Times New Roman" w:eastAsia="宋体" w:cs="Times New Roman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2025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年度安徽省青年科技创新奖候选者。</w:t>
      </w:r>
    </w:p>
    <w:p w14:paraId="4678C0F5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 w:line="360" w:lineRule="auto"/>
        <w:ind w:right="0" w:firstLine="480" w:firstLineChars="200"/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提名该同志已征求了姓名（单位、从事学科专业）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、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等</w:t>
      </w:r>
      <w:r>
        <w:rPr>
          <w:rFonts w:hint="default" w:ascii="Times New Roman" w:hAnsi="Times New Roman" w:eastAsia="宋体" w:cs="Times New Roman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5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 xml:space="preserve">名专家意见。 </w:t>
      </w:r>
    </w:p>
    <w:p w14:paraId="059A99C5">
      <w:pPr>
        <w:spacing w:line="360" w:lineRule="auto"/>
        <w:ind w:firstLine="240" w:firstLineChars="100"/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本单位已于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年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月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日通过</w:t>
      </w:r>
      <w:bookmarkStart w:id="0" w:name="_GoBack"/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u w:val="single"/>
          <w:shd w:val="clear" w:fill="FFFFFF"/>
          <w:lang w:val="en-US" w:eastAsia="zh-CN" w:bidi="ar-SA"/>
        </w:rPr>
        <w:t xml:space="preserve">    </w:t>
      </w:r>
      <w:bookmarkEnd w:id="0"/>
      <w:r>
        <w:rPr>
          <w:rFonts w:hint="eastAsia" w:ascii="宋体" w:hAnsi="宋体" w:eastAsia="宋体" w:cs="宋体"/>
          <w:b w:val="0"/>
          <w:i w:val="0"/>
          <w:iCs w:val="0"/>
          <w:caps w:val="0"/>
          <w:color w:val="0F1115"/>
          <w:spacing w:val="0"/>
          <w:kern w:val="2"/>
          <w:sz w:val="24"/>
          <w:szCs w:val="24"/>
          <w:shd w:val="clear" w:fill="FFFFFF"/>
          <w:lang w:val="en-US" w:eastAsia="zh-CN" w:bidi="ar-SA"/>
        </w:rPr>
        <w:t>方式对该候选者进行了公示。</w:t>
      </w:r>
    </w:p>
    <w:p w14:paraId="58FA17B3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66C527F4">
      <w:pPr>
        <w:rPr>
          <w:rFonts w:hint="default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三、代表性论文专著目录</w:t>
      </w:r>
    </w:p>
    <w:p w14:paraId="6519D5D1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 xml:space="preserve">[1] Fei Jiang,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Liu*</w:t>
      </w:r>
      <w:r>
        <w:rPr>
          <w:rFonts w:hint="default" w:ascii="Times New Roman" w:hAnsi="Times New Roman" w:eastAsia="仿宋" w:cs="Times New Roman"/>
          <w:sz w:val="24"/>
        </w:rPr>
        <w:t>, Youyi Zhao. Stability of the viscoelastic Rayleigh-Bénard problem with an upper free boundary. Calculus of Variations and Partial Differential Equations, 2023,62(3): 86.（被引用5次）</w:t>
      </w:r>
    </w:p>
    <w:p w14:paraId="6B2C1725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[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4"/>
        </w:rPr>
        <w:t xml:space="preserve">]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</w:t>
      </w:r>
      <w:r>
        <w:rPr>
          <w:rFonts w:hint="default" w:ascii="Times New Roman" w:hAnsi="Times New Roman" w:eastAsia="仿宋" w:cs="Times New Roman"/>
          <w:sz w:val="24"/>
        </w:rPr>
        <w:t>, Han Jiang, Yajie Zhang. Global well-posedness of the free-surface incompressible ideal MHD equations with velocity damping. Zeitschrift für Angewandte Mathematik und Physik, 2024,75(6):194.</w:t>
      </w:r>
    </w:p>
    <w:p w14:paraId="186FD275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[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</w:rPr>
        <w:t xml:space="preserve">] Jialiang Wang,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Liu*</w:t>
      </w:r>
      <w:r>
        <w:rPr>
          <w:rFonts w:hint="default" w:ascii="Times New Roman" w:hAnsi="Times New Roman" w:eastAsia="仿宋" w:cs="Times New Roman"/>
          <w:sz w:val="24"/>
        </w:rPr>
        <w:t>, Han Jiang, Yajie Zhang. On the dynamical stability and instability of Rayleigh-Bénard problem in Non-Newtonian fluids.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4"/>
        </w:rPr>
        <w:t>Communications on Pure and Applied Analysis, 2024, 23(2): 212</w:t>
      </w:r>
      <w:r>
        <w:rPr>
          <w:rFonts w:hint="default" w:ascii="Times New Roman" w:hAnsi="Times New Roman" w:eastAsia="仿宋" w:cs="Times New Roman"/>
          <w:color w:val="000000"/>
          <w:sz w:val="24"/>
        </w:rPr>
        <w:t>–</w:t>
      </w:r>
      <w:r>
        <w:rPr>
          <w:rFonts w:hint="default" w:ascii="Times New Roman" w:hAnsi="Times New Roman" w:eastAsia="仿宋" w:cs="Times New Roman"/>
          <w:sz w:val="24"/>
        </w:rPr>
        <w:t xml:space="preserve">232. </w:t>
      </w:r>
    </w:p>
    <w:p w14:paraId="25C6F342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</w:rPr>
        <w:t>[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</w:rPr>
        <w:t xml:space="preserve">]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</w:t>
      </w:r>
      <w:r>
        <w:rPr>
          <w:rFonts w:hint="default" w:ascii="Times New Roman" w:hAnsi="Times New Roman" w:eastAsia="仿宋" w:cs="Times New Roman"/>
          <w:sz w:val="24"/>
        </w:rPr>
        <w:t xml:space="preserve">, Fangying Song, Weiwei Wang. On Parker instability under </w:t>
      </w:r>
      <w:r>
        <w:rPr>
          <w:rFonts w:hint="default" w:ascii="Times New Roman" w:hAnsi="Times New Roman" w:eastAsia="仿宋" w:cs="Times New Roman"/>
          <w:position w:val="-4"/>
          <w:sz w:val="24"/>
        </w:rPr>
        <w:object>
          <v:shape id="_x0000_i1025" o:spt="75" type="#_x0000_t75" style="height:15pt;width:13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eastAsia="仿宋" w:cs="Times New Roman"/>
          <w:color w:val="000000"/>
          <w:sz w:val="24"/>
        </w:rPr>
        <w:t>–</w:t>
      </w:r>
      <w:r>
        <w:rPr>
          <w:rFonts w:hint="default" w:ascii="Times New Roman" w:hAnsi="Times New Roman" w:eastAsia="仿宋" w:cs="Times New Roman"/>
          <w:sz w:val="24"/>
        </w:rPr>
        <w:t>norm. Nonlinear Analysis:Theory Methods &amp; Applications, 2020, 192: 111697.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/>
          <w:bCs/>
          <w:sz w:val="24"/>
          <w:lang w:val="en-US" w:eastAsia="zh-CN"/>
        </w:rPr>
        <w:t xml:space="preserve">       </w:t>
      </w:r>
    </w:p>
    <w:p w14:paraId="4E90E224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[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4"/>
        </w:rPr>
        <w:t xml:space="preserve">]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</w:t>
      </w:r>
      <w:r>
        <w:rPr>
          <w:rFonts w:hint="default" w:ascii="Times New Roman" w:hAnsi="Times New Roman" w:eastAsia="仿宋" w:cs="Times New Roman"/>
          <w:sz w:val="24"/>
        </w:rPr>
        <w:t>, Jialiang Wang, Han Jiang, Yajie Zhang. The dynamical stability and instability of Rayleigh-Bénard problem for non-Newtonian fluids with power law type. Applicable Analysis, 202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4"/>
        </w:rPr>
        <w:t>,104(10):1901</w:t>
      </w:r>
      <w:r>
        <w:rPr>
          <w:rFonts w:hint="default" w:ascii="Times New Roman" w:hAnsi="Times New Roman" w:eastAsia="仿宋" w:cs="Times New Roman"/>
          <w:color w:val="000000"/>
          <w:sz w:val="24"/>
        </w:rPr>
        <w:t>–</w:t>
      </w:r>
      <w:r>
        <w:rPr>
          <w:rFonts w:hint="default" w:ascii="Times New Roman" w:hAnsi="Times New Roman" w:eastAsia="仿宋" w:cs="Times New Roman"/>
          <w:sz w:val="24"/>
        </w:rPr>
        <w:t>1942.</w:t>
      </w:r>
    </w:p>
    <w:p w14:paraId="2B3A0ADA">
      <w:pPr>
        <w:snapToGrid w:val="0"/>
        <w:spacing w:line="360" w:lineRule="auto"/>
        <w:rPr>
          <w:rFonts w:hint="default" w:ascii="Times New Roman" w:hAnsi="Times New Roman" w:eastAsia="仿宋" w:cs="Times New Roman"/>
          <w:b/>
          <w:bCs/>
          <w:sz w:val="24"/>
          <w:lang w:val="en-US" w:eastAsia="zh-CN"/>
        </w:rPr>
      </w:pPr>
    </w:p>
    <w:p w14:paraId="3AE90136">
      <w:pPr>
        <w:snapToGrid w:val="0"/>
        <w:spacing w:line="360" w:lineRule="auto"/>
        <w:rPr>
          <w:rFonts w:hint="default" w:ascii="Times New Roman" w:hAnsi="Times New Roman" w:eastAsia="仿宋" w:cs="Times New Roman"/>
          <w:b/>
          <w:bCs/>
          <w:sz w:val="24"/>
        </w:rPr>
      </w:pPr>
      <w:r>
        <w:rPr>
          <w:rFonts w:hint="default" w:ascii="Times New Roman" w:hAnsi="Times New Roman" w:eastAsia="仿宋" w:cs="Times New Roman"/>
          <w:b/>
          <w:bCs/>
          <w:sz w:val="24"/>
        </w:rPr>
        <w:t>其他论文目录：</w:t>
      </w:r>
    </w:p>
    <w:p w14:paraId="34DDE1A2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b/>
          <w:bCs/>
          <w:sz w:val="24"/>
        </w:rPr>
      </w:pPr>
      <w:r>
        <w:rPr>
          <w:rFonts w:hint="default" w:ascii="Times New Roman" w:hAnsi="Times New Roman" w:eastAsia="仿宋" w:cs="Times New Roman"/>
          <w:sz w:val="24"/>
        </w:rPr>
        <w:t>[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4"/>
        </w:rPr>
        <w:t xml:space="preserve">] Fei Jiang,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</w:t>
      </w:r>
      <w:r>
        <w:rPr>
          <w:rFonts w:hint="default" w:ascii="Times New Roman" w:hAnsi="Times New Roman" w:eastAsia="仿宋" w:cs="Times New Roman"/>
          <w:sz w:val="24"/>
        </w:rPr>
        <w:t>. Nonlinear stability of the viscoelastic Bénard problem. Nonlinearity, 2020, 33(4): 1677</w:t>
      </w:r>
      <w:r>
        <w:rPr>
          <w:rFonts w:hint="default" w:ascii="Times New Roman" w:hAnsi="Times New Roman" w:eastAsia="仿宋" w:cs="Times New Roman"/>
          <w:color w:val="000000"/>
          <w:sz w:val="24"/>
        </w:rPr>
        <w:t>–1704</w:t>
      </w:r>
      <w:r>
        <w:rPr>
          <w:rFonts w:hint="default" w:ascii="Times New Roman" w:hAnsi="Times New Roman" w:eastAsia="仿宋" w:cs="Times New Roman"/>
          <w:sz w:val="24"/>
        </w:rPr>
        <w:t>.</w:t>
      </w:r>
    </w:p>
    <w:p w14:paraId="407A7939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[7] </w:t>
      </w:r>
      <w:r>
        <w:rPr>
          <w:rFonts w:hint="default" w:ascii="Times New Roman" w:hAnsi="Times New Roman" w:eastAsia="仿宋" w:cs="Times New Roman"/>
          <w:b/>
          <w:bCs/>
          <w:sz w:val="24"/>
        </w:rPr>
        <w:t>Mengmeng Liu</w:t>
      </w:r>
      <w:r>
        <w:rPr>
          <w:rFonts w:hint="default" w:ascii="Times New Roman" w:hAnsi="Times New Roman" w:eastAsia="仿宋" w:cs="Times New Roman"/>
          <w:sz w:val="24"/>
        </w:rPr>
        <w:t>,</w:t>
      </w:r>
      <w:r>
        <w:rPr>
          <w:rFonts w:hint="default" w:ascii="Times New Roman" w:hAnsi="Times New Roman" w:eastAsia="仿宋" w:cs="Times New Roman"/>
          <w:sz w:val="24"/>
        </w:rPr>
        <w:fldChar w:fldCharType="begin"/>
      </w:r>
      <w:r>
        <w:rPr>
          <w:rFonts w:hint="default" w:ascii="Times New Roman" w:hAnsi="Times New Roman" w:eastAsia="仿宋" w:cs="Times New Roman"/>
          <w:sz w:val="24"/>
        </w:rPr>
        <w:instrText xml:space="preserve"> HYPERLINK "javascript:void(0);" </w:instrText>
      </w:r>
      <w:r>
        <w:rPr>
          <w:rFonts w:hint="default" w:ascii="Times New Roman" w:hAnsi="Times New Roman" w:eastAsia="仿宋" w:cs="Times New Roman"/>
          <w:sz w:val="24"/>
        </w:rPr>
        <w:fldChar w:fldCharType="separate"/>
      </w:r>
      <w:r>
        <w:rPr>
          <w:rFonts w:hint="default" w:ascii="Times New Roman" w:hAnsi="Times New Roman" w:eastAsia="仿宋" w:cs="Times New Roman"/>
          <w:sz w:val="24"/>
        </w:rPr>
        <w:t>Jing Zhang</w:t>
      </w:r>
      <w:r>
        <w:rPr>
          <w:rFonts w:hint="default" w:ascii="Times New Roman" w:hAnsi="Times New Roman" w:eastAsia="仿宋" w:cs="Times New Roman"/>
          <w:sz w:val="24"/>
        </w:rPr>
        <w:fldChar w:fldCharType="end"/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24"/>
        </w:rPr>
        <w:t xml:space="preserve"> Jialiang Wang, Han Jiang, Yajie Zhang.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4"/>
        </w:rPr>
        <w:t>On instability of Rayleigh-Taylor problem for incompressible Power-Law fluid in a bounded domain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. Discrete and Continuous Dynamical Systems - Series S, 2026,32:493-513.</w:t>
      </w:r>
    </w:p>
    <w:p w14:paraId="73933126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[9] </w:t>
      </w:r>
      <w:r>
        <w:rPr>
          <w:rFonts w:hint="default" w:ascii="Times New Roman" w:hAnsi="Times New Roman" w:eastAsia="仿宋" w:cs="Times New Roman"/>
          <w:b/>
          <w:bCs/>
          <w:sz w:val="24"/>
          <w:lang w:val="en-US" w:eastAsia="zh-CN"/>
        </w:rPr>
        <w:t>Mengmeng Liu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, Xueyun Lin, On instability of Rayleigh-Taylor problem for incompressible liquid crystals under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object>
          <v:shape id="_x0000_i1026" o:spt="75" type="#_x0000_t75" style="height:15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–norm. Boundary Value Problem, 2021,2021(52).</w:t>
      </w:r>
    </w:p>
    <w:p w14:paraId="2EA8C1D2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[10] </w:t>
      </w:r>
      <w:r>
        <w:rPr>
          <w:rFonts w:hint="default" w:ascii="Times New Roman" w:hAnsi="Times New Roman" w:eastAsia="仿宋" w:cs="Times New Roman"/>
          <w:b/>
          <w:bCs/>
          <w:sz w:val="24"/>
          <w:lang w:val="en-US" w:eastAsia="zh-CN"/>
        </w:rPr>
        <w:t>Mengmeng Liu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, Xueyun Lin,Global classical solutions to the elastodynamic equations damping. Journal of Inequalities and Applications, 2021,2021(88).</w:t>
      </w:r>
    </w:p>
    <w:p w14:paraId="55942A0F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lang w:val="en-US" w:eastAsia="zh-CN"/>
        </w:rPr>
        <w:t xml:space="preserve">[11] Pan Zhang, </w:t>
      </w:r>
      <w:r>
        <w:rPr>
          <w:rFonts w:hint="default" w:ascii="Times New Roman" w:hAnsi="Times New Roman" w:eastAsia="仿宋" w:cs="Times New Roman"/>
          <w:b/>
          <w:bCs/>
          <w:sz w:val="24"/>
          <w:lang w:val="en-US" w:eastAsia="zh-CN"/>
        </w:rPr>
        <w:t>Mengmeng Liu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, Fangying Song. On instability of the Rayleigh-Bénard problem without thermal diffusion in a bounded domain under</w: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object>
          <v:shape id="_x0000_i1027" o:spt="75" type="#_x0000_t75" style="height:15pt;width:1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eastAsia="仿宋" w:cs="Times New Roman"/>
          <w:sz w:val="24"/>
          <w:lang w:val="en-US" w:eastAsia="zh-CN"/>
        </w:rPr>
        <w:t>–norm. Annals of Applied Mathematics,2022,38(3):261–279.</w:t>
      </w:r>
    </w:p>
    <w:p w14:paraId="723BA3D0">
      <w:pPr>
        <w:rPr>
          <w:rFonts w:hint="default" w:ascii="Times New Roman" w:hAnsi="Times New Roman" w:eastAsia="仿宋" w:cs="Times New Roman"/>
          <w:b/>
          <w:bCs/>
          <w:sz w:val="24"/>
        </w:rPr>
      </w:pPr>
      <w:r>
        <w:rPr>
          <w:rFonts w:hint="default" w:ascii="Times New Roman" w:hAnsi="Times New Roman" w:eastAsia="仿宋" w:cs="Times New Roman"/>
          <w:b/>
          <w:bCs/>
          <w:sz w:val="24"/>
        </w:rPr>
        <w:t xml:space="preserve">    注：*表示通讯作者</w:t>
      </w:r>
    </w:p>
    <w:p w14:paraId="2D931ED8">
      <w:pPr>
        <w:pStyle w:val="5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</w:p>
    <w:p w14:paraId="1903E65B">
      <w:pPr>
        <w:ind w:firstLine="481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1925A"/>
    <w:multiLevelType w:val="singleLevel"/>
    <w:tmpl w:val="A1C192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B6293"/>
    <w:rsid w:val="01C2043A"/>
    <w:rsid w:val="05B71F0C"/>
    <w:rsid w:val="06562220"/>
    <w:rsid w:val="089B03BE"/>
    <w:rsid w:val="095C2AF7"/>
    <w:rsid w:val="09993692"/>
    <w:rsid w:val="0A0F696E"/>
    <w:rsid w:val="0B6149B5"/>
    <w:rsid w:val="0DA33F9D"/>
    <w:rsid w:val="0F640675"/>
    <w:rsid w:val="1292638E"/>
    <w:rsid w:val="168A0AB3"/>
    <w:rsid w:val="18104A4E"/>
    <w:rsid w:val="186C16C7"/>
    <w:rsid w:val="19ED0FB8"/>
    <w:rsid w:val="1BCA6B98"/>
    <w:rsid w:val="1D9F40CF"/>
    <w:rsid w:val="1DF21254"/>
    <w:rsid w:val="2039796E"/>
    <w:rsid w:val="204D7D98"/>
    <w:rsid w:val="22A757E2"/>
    <w:rsid w:val="280D678A"/>
    <w:rsid w:val="2A245F4E"/>
    <w:rsid w:val="2A587987"/>
    <w:rsid w:val="2A8C5AAD"/>
    <w:rsid w:val="2AA77E46"/>
    <w:rsid w:val="2C7B6AF8"/>
    <w:rsid w:val="2DB84A2D"/>
    <w:rsid w:val="301E0519"/>
    <w:rsid w:val="302F3016"/>
    <w:rsid w:val="34084665"/>
    <w:rsid w:val="34172564"/>
    <w:rsid w:val="36D55D6B"/>
    <w:rsid w:val="36F921EA"/>
    <w:rsid w:val="371C1F09"/>
    <w:rsid w:val="397F5830"/>
    <w:rsid w:val="39D011BE"/>
    <w:rsid w:val="3AF92B9E"/>
    <w:rsid w:val="3B3F2CA7"/>
    <w:rsid w:val="3BDC6748"/>
    <w:rsid w:val="3DC62B88"/>
    <w:rsid w:val="3ECB0200"/>
    <w:rsid w:val="415B152C"/>
    <w:rsid w:val="42376048"/>
    <w:rsid w:val="4283791D"/>
    <w:rsid w:val="42DA731F"/>
    <w:rsid w:val="439C3E58"/>
    <w:rsid w:val="455848A1"/>
    <w:rsid w:val="48682BB1"/>
    <w:rsid w:val="4DBC0187"/>
    <w:rsid w:val="4E3613CB"/>
    <w:rsid w:val="51664E48"/>
    <w:rsid w:val="528C45CC"/>
    <w:rsid w:val="57C00874"/>
    <w:rsid w:val="5AB14924"/>
    <w:rsid w:val="5BA74225"/>
    <w:rsid w:val="5CFD1AC3"/>
    <w:rsid w:val="62316D43"/>
    <w:rsid w:val="64C7710F"/>
    <w:rsid w:val="66901402"/>
    <w:rsid w:val="68B22812"/>
    <w:rsid w:val="6943138E"/>
    <w:rsid w:val="69891037"/>
    <w:rsid w:val="6C1565BE"/>
    <w:rsid w:val="6C95591D"/>
    <w:rsid w:val="70366B8A"/>
    <w:rsid w:val="70AC7790"/>
    <w:rsid w:val="72CA5D7C"/>
    <w:rsid w:val="73BC23E0"/>
    <w:rsid w:val="747E06A2"/>
    <w:rsid w:val="74EA4FDD"/>
    <w:rsid w:val="761C209B"/>
    <w:rsid w:val="7BD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next w:val="1"/>
    <w:qFormat/>
    <w:uiPriority w:val="0"/>
    <w:pPr>
      <w:widowControl w:val="0"/>
      <w:spacing w:after="160" w:line="278" w:lineRule="auto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2514</Characters>
  <Lines>0</Lines>
  <Paragraphs>0</Paragraphs>
  <TotalTime>1</TotalTime>
  <ScaleCrop>false</ScaleCrop>
  <LinksUpToDate>false</LinksUpToDate>
  <CharactersWithSpaces>2804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2026-08-27T09:43:00Z</dcterms:created>
  <dc:creator>Administrator</dc:creator>
  <cp:lastModifiedBy>刘</cp:lastModifiedBy>
  <dcterms:modified xsi:type="dcterms:W3CDTF">2026-08-28T08:58:34Z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eyJoZGlkIjoiYWYyZDAwZjU2MzhiMGZmNDVkOTVkZjZhMGUyOGU4OTkiLCJ1c2VySWQiOiI2OTUwNDQwNjgifQ==</vt:lpwstr>
  </property>
  <property fmtid="{D5CDD505-2E9C-101B-9397-08002B2CF9AE}" pid="4" name="ICV">
    <vt:lpwstr>EF5B318F7CA74ED0ADFAC3D607CBAC53_12</vt:lpwstr>
  </property>
</Properties>
</file>