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63DD3">
      <w:pPr>
        <w:spacing w:after="312" w:afterLines="100"/>
        <w:ind w:firstLine="0" w:firstLineChars="0"/>
        <w:jc w:val="center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</w:rPr>
        <w:t>2025年度安徽省</w:t>
      </w:r>
      <w:r>
        <w:rPr>
          <w:rFonts w:hint="eastAsia" w:eastAsia="方正小标宋简体" w:cs="Times New Roman"/>
          <w:sz w:val="40"/>
          <w:szCs w:val="40"/>
          <w:lang w:val="en-US" w:eastAsia="zh-CN"/>
        </w:rPr>
        <w:t>自然科学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奖项目公示内容</w:t>
      </w:r>
    </w:p>
    <w:p w14:paraId="36DE9BF3">
      <w:pPr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项目名称：半夏高温胁迫应答与遮荫调控</w:t>
      </w:r>
    </w:p>
    <w:p w14:paraId="2FD21818">
      <w:pPr>
        <w:ind w:firstLine="6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2. 提 名 者：</w:t>
      </w:r>
      <w:r>
        <w:rPr>
          <w:rFonts w:hint="default" w:ascii="Times New Roman" w:hAnsi="Times New Roman" w:cs="Times New Roman"/>
          <w:lang w:val="en-US" w:eastAsia="zh-CN"/>
        </w:rPr>
        <w:t>淮北师范大学</w:t>
      </w:r>
    </w:p>
    <w:p w14:paraId="7E754EEC">
      <w:p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提名意见：</w:t>
      </w:r>
    </w:p>
    <w:p w14:paraId="513A5359">
      <w:pPr>
        <w:widowControl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该项目围绕安徽省道地药材半夏，在国家自然科学基金及安徽省自然科学基金等持续资助下，历经十余年系统研究，在基因组解析及组学分析、高温逆境应答分子机制、遮荫调控半夏生长等方面取得了系统性原创成果。首次完成了半夏染色体水平基因组组装，揭示了麻黄碱生物合成通路的进化起源与毒针晶形成的分子基础，并开展了高温胁迫下转录组与miRNA的综合分析，鉴定了参与半夏高温响应的调控模块；系统鉴定了高温响应基因家族并构建了调控网络；构建了遮荫延缓半夏倒苗的“转录—代谢—表观”多层次调控机制。</w:t>
      </w:r>
    </w:p>
    <w:p w14:paraId="459C6A5A">
      <w:pPr>
        <w:widowControl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项目共发表研究论文2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篇（含SCI/ESCI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 xml:space="preserve">15篇），其中6篇代表性论文他引100次，代表性论文发表于Industrial Crops and Products等期刊。培养半夏研究方向硕士研究生17名，11名考入考取浙江大学等单位博士。项目组成员学风严谨，勇于创新，重视国际交流与合作，在国内外同行中有较大的影响力，为本校学科建设和发展做出了重要贡献。 </w:t>
      </w:r>
    </w:p>
    <w:p w14:paraId="1CA8E38D">
      <w:pPr>
        <w:widowControl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该项目成果为破解半夏“高温倒苗”产业难题提供了分子靶标，为活性成分调控提供了理论依据，为半夏分子育种奠定了技术基础，对推动安徽省道地药材半夏的产业化发展具有重要意义。</w:t>
      </w:r>
    </w:p>
    <w:p w14:paraId="162E5E6F">
      <w:pPr>
        <w:widowControl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经审查，内容属实。且全部成果均在淮北师范大学取得，单位和个人署名无异议。</w:t>
      </w:r>
    </w:p>
    <w:p w14:paraId="15117A05">
      <w:pPr>
        <w:widowControl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 xml:space="preserve">提名该项目为2025年度安徽省自然科学奖。 </w:t>
      </w:r>
    </w:p>
    <w:p w14:paraId="4C54ADD3">
      <w:p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br w:type="page"/>
      </w:r>
    </w:p>
    <w:p w14:paraId="7E964C79">
      <w:pPr>
        <w:ind w:firstLine="6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 项目简介：</w:t>
      </w:r>
    </w:p>
    <w:p w14:paraId="665EB352">
      <w:pPr>
        <w:widowControl/>
        <w:spacing w:line="360" w:lineRule="exact"/>
        <w:ind w:firstLine="480" w:firstLineChars="200"/>
        <w:jc w:val="both"/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药用植物中</w:t>
      </w:r>
      <w:r>
        <w:rPr>
          <w:rFonts w:hint="eastAsia" w:eastAsia="宋体" w:cs="Times New Roman"/>
          <w:kern w:val="0"/>
          <w:sz w:val="24"/>
          <w:highlight w:val="none"/>
          <w:lang w:val="en-US" w:eastAsia="zh-CN" w:bidi="ar"/>
        </w:rPr>
        <w:t>阴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生类群超过</w:t>
      </w:r>
      <w:r>
        <w:rPr>
          <w:rFonts w:hint="eastAsia" w:eastAsia="宋体" w:cs="Times New Roman"/>
          <w:kern w:val="0"/>
          <w:sz w:val="24"/>
          <w:highlight w:val="none"/>
          <w:lang w:val="en-US" w:eastAsia="zh-CN" w:bidi="ar"/>
        </w:rPr>
        <w:t>40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%，黄连、天麻、半夏、重楼、人参、三七等均为典型荫生药材。人工栽培使其失去</w:t>
      </w:r>
      <w:r>
        <w:rPr>
          <w:rFonts w:hint="eastAsia" w:eastAsia="宋体" w:cs="Times New Roman"/>
          <w:kern w:val="0"/>
          <w:sz w:val="24"/>
          <w:highlight w:val="none"/>
          <w:lang w:eastAsia="zh-CN" w:bidi="ar"/>
        </w:rPr>
        <w:t>遮荫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 xml:space="preserve">庇护，高温胁迫已成为制约该类中药材生产的关键瓶颈。遮荫是恢复其原生微环境的主要物理防控手段，但其缓解高温损伤的分子机制长期不明，导致无法建立精准的遮荫调控方案，缺乏可用于耐热育种的基因靶标。半夏在35℃以上地上部分快速枯死（俗称“倒苗”），严重降低产量和品质。核心科学问题在于：半夏高温应答的信号网络是什么？遮荫缓解高温损伤的分子机理又是什么？本项目以荫生药用植物半夏为模式，依托国家自然科学基金和安徽省自然科学基金，历时13年，围绕上述科学问题，取得了以下重要科学发现：  </w:t>
      </w:r>
    </w:p>
    <w:p w14:paraId="0277BF37">
      <w:pPr>
        <w:widowControl/>
        <w:spacing w:line="360" w:lineRule="exact"/>
        <w:jc w:val="both"/>
        <w:rPr>
          <w:rFonts w:hint="default" w:ascii="Times New Roman" w:hAnsi="Times New Roman" w:eastAsia="宋体" w:cs="Times New Roman"/>
          <w:highlight w:val="none"/>
        </w:rPr>
      </w:pPr>
      <w:r>
        <w:rPr>
          <w:rStyle w:val="4"/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1. 多组学联合分析系统鉴定了半夏高温胁迫响应基因，构建了首个半夏基因组，为理解高温响应的分子机制提供基因信息基础。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开展高温胁迫下的转录组与miRNA组联合分析，系统鉴定出热激蛋白、脂肪酸去饱和酶、转录因子等多个高温响应基因家族，构建了荫生药用植物领域首个高温应答转录组图谱，组装了半夏染色体水平基因组，为功能验证提供了系统的候选基因库。</w:t>
      </w:r>
    </w:p>
    <w:p w14:paraId="72D7FC26">
      <w:pPr>
        <w:widowControl/>
        <w:spacing w:line="360" w:lineRule="exact"/>
        <w:jc w:val="both"/>
        <w:rPr>
          <w:rFonts w:hint="default" w:ascii="Times New Roman" w:hAnsi="Times New Roman" w:eastAsia="宋体" w:cs="Times New Roman"/>
          <w:highlight w:val="none"/>
        </w:rPr>
      </w:pPr>
      <w:r>
        <w:rPr>
          <w:rStyle w:val="4"/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2. 转基因与生理学验证揭示了半夏高温应答的多基因协同调控网络，为耐热性资源筛选和培养提供了重要靶点。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基于发现1的候选基因库，利用半夏本物种CRISPR/Cas9敲除与异源过表达体系，结合外源激素处理，系统验证了多个高温应答关键基因的功能。在高温信号感知方面，发现硬脂酰-ACP去饱和酶基因过表达降低耐热性，揭示了脂肪酸去饱和在高温应答中的负调控作用；在热激响应层面，验证了胞质II类小热激蛋白的保护功能；在转录调控层面，发现PtNAC66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eastAsia="zh-CN" w:bidi="ar"/>
        </w:rPr>
        <w:t>、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Pt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 w:bidi="ar"/>
        </w:rPr>
        <w:t>WRKY2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等转录因子作用于热激响应和ROS通路调控半夏高温下的机制。外源激素处理均可显著缓解高温损伤，表明激素信号参与了高温应答调控。高温诱导的全基因组DNA甲基化变异进一步揭示了表观调控层面的响应机制。上述结果共同构建了半夏高温应答的“基因—激素—表观”多层级调控网络。</w:t>
      </w:r>
    </w:p>
    <w:p w14:paraId="7620BEB0">
      <w:pPr>
        <w:widowControl/>
        <w:spacing w:line="360" w:lineRule="exact"/>
        <w:jc w:val="both"/>
        <w:rPr>
          <w:rFonts w:hint="default" w:ascii="Times New Roman" w:hAnsi="Times New Roman" w:eastAsia="宋体" w:cs="Times New Roman"/>
          <w:highlight w:val="none"/>
        </w:rPr>
      </w:pPr>
      <w:r>
        <w:rPr>
          <w:rStyle w:val="4"/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3. 揭示了遮荫延缓半夏倒苗的“转录—代谢—表观”多层次调控机制，为遮荫调控方案的制定提供了理论基础。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通过遮荫条件下的全长转录组分析，发现遮荫通过下调光呼吸强度、上调抗氧化酶活性、调节激素信号通路缓解高温损伤；遮荫代谢组分析发现甲羟戊酸、GABA、有机酸等代谢物显著富集；遮荫还诱导基因组DNA甲基化水平发生全局性变化。上述结果揭示了遮荫调控高温损伤的“转录—代谢—表观”多层次机制。</w:t>
      </w:r>
    </w:p>
    <w:p w14:paraId="70774F40">
      <w:pPr>
        <w:widowControl/>
        <w:spacing w:line="360" w:lineRule="exact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本项目共发表研究论文2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篇，其中SCI/ESCI收录论文15篇。6篇代表性论文被他引100次，多次受到国内外同行的正面评价。项目执行期间，培养半夏研究方向硕士研究生17名，11名考入考取浙江大学等单位博士。本项目以荫生药用植物半夏为模式，系统揭示了高温胁迫应答的分子机制及遮荫调控原理，为全球变暖背景下</w:t>
      </w:r>
      <w:r>
        <w:rPr>
          <w:rFonts w:hint="default" w:ascii="Times New Roman" w:hAnsi="Times New Roman" w:eastAsia="宋体"/>
          <w:kern w:val="0"/>
          <w:sz w:val="24"/>
          <w:highlight w:val="none"/>
          <w:lang w:val="en-US" w:eastAsia="zh-CN" w:bidi="ar"/>
        </w:rPr>
        <w:t>阴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生中药材的耐热性改良提供了理论基础和基因靶标，对人参、三七、黄连等其他</w:t>
      </w:r>
      <w:r>
        <w:rPr>
          <w:rFonts w:hint="default" w:ascii="Times New Roman" w:hAnsi="Times New Roman" w:eastAsia="宋体"/>
          <w:kern w:val="0"/>
          <w:sz w:val="24"/>
          <w:highlight w:val="none"/>
          <w:lang w:val="en-US" w:eastAsia="zh-CN" w:bidi="ar"/>
        </w:rPr>
        <w:t>阴</w:t>
      </w:r>
      <w:r>
        <w:rPr>
          <w:rFonts w:hint="default" w:ascii="Times New Roman" w:hAnsi="Times New Roman" w:eastAsia="宋体" w:cs="Times New Roman"/>
          <w:kern w:val="0"/>
          <w:sz w:val="24"/>
          <w:highlight w:val="none"/>
          <w:lang w:bidi="ar"/>
        </w:rPr>
        <w:t>生药材的高温胁迫研究具有重要借鉴意义。</w:t>
      </w:r>
      <w:r>
        <w:rPr>
          <w:rFonts w:hint="default" w:ascii="Times New Roman" w:hAnsi="Times New Roman" w:cs="Times New Roman"/>
          <w:lang w:val="en-US" w:eastAsia="zh-CN"/>
        </w:rPr>
        <w:br w:type="page"/>
      </w:r>
      <w:bookmarkStart w:id="3" w:name="_GoBack"/>
      <w:bookmarkEnd w:id="3"/>
    </w:p>
    <w:p w14:paraId="095D994C">
      <w:pPr>
        <w:ind w:firstLine="600"/>
        <w:jc w:val="both"/>
        <w:rPr>
          <w:rFonts w:hint="default" w:ascii="Times New Roman" w:hAnsi="Times New Roman" w:cs="Times New Roman"/>
          <w:lang w:val="en-US" w:eastAsia="zh-CN"/>
        </w:rPr>
        <w:sectPr>
          <w:pgSz w:w="11906" w:h="16838"/>
          <w:pgMar w:top="1814" w:right="1587" w:bottom="1814" w:left="1587" w:header="851" w:footer="992" w:gutter="0"/>
          <w:cols w:space="0" w:num="1"/>
          <w:rtlGutter w:val="0"/>
          <w:docGrid w:type="lines" w:linePitch="312" w:charSpace="0"/>
        </w:sectPr>
      </w:pPr>
    </w:p>
    <w:p w14:paraId="0841551E">
      <w:pPr>
        <w:ind w:firstLine="60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4. 代表性论文专著等目录</w:t>
      </w:r>
    </w:p>
    <w:p w14:paraId="7C24A793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0" w:leftChars="0" w:firstLine="5400" w:firstLineChars="1500"/>
        <w:jc w:val="both"/>
        <w:textAlignment w:val="auto"/>
        <w:outlineLvl w:val="0"/>
        <w:rPr>
          <w:rFonts w:hint="default" w:ascii="Times New Roman" w:hAnsi="Times New Roman" w:eastAsia="黑体" w:cs="Times New Roman"/>
          <w:bCs/>
          <w:kern w:val="44"/>
          <w:sz w:val="36"/>
          <w:szCs w:val="20"/>
        </w:rPr>
      </w:pPr>
      <w:r>
        <w:rPr>
          <w:rFonts w:hint="default" w:ascii="Times New Roman" w:hAnsi="Times New Roman" w:eastAsia="黑体" w:cs="Times New Roman"/>
          <w:bCs/>
          <w:kern w:val="44"/>
          <w:sz w:val="36"/>
          <w:szCs w:val="20"/>
        </w:rPr>
        <w:t>代表性论文专著目录</w:t>
      </w:r>
    </w:p>
    <w:tbl>
      <w:tblPr>
        <w:tblStyle w:val="2"/>
        <w:tblpPr w:leftFromText="180" w:rightFromText="180" w:vertAnchor="text" w:horzAnchor="page" w:tblpX="1789" w:tblpY="731"/>
        <w:tblOverlap w:val="never"/>
        <w:tblW w:w="1352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3804"/>
        <w:gridCol w:w="1348"/>
        <w:gridCol w:w="1022"/>
        <w:gridCol w:w="1152"/>
        <w:gridCol w:w="978"/>
        <w:gridCol w:w="848"/>
        <w:gridCol w:w="862"/>
        <w:gridCol w:w="1290"/>
        <w:gridCol w:w="1370"/>
      </w:tblGrid>
      <w:tr w14:paraId="66F346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EB2444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  <w:lang w:val="en-US" w:eastAsia="zh-CN"/>
              </w:rPr>
              <w:t>序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号</w:t>
            </w:r>
          </w:p>
        </w:tc>
        <w:tc>
          <w:tcPr>
            <w:tcW w:w="380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C07B7E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论文（专著）名称/刊名</w:t>
            </w:r>
          </w:p>
          <w:p w14:paraId="071ADCB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/作者</w:t>
            </w:r>
          </w:p>
        </w:tc>
        <w:tc>
          <w:tcPr>
            <w:tcW w:w="13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F16E9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年卷页码（xx年xx卷xx页）</w:t>
            </w:r>
          </w:p>
        </w:tc>
        <w:tc>
          <w:tcPr>
            <w:tcW w:w="10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DA707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发表时间年月 日</w:t>
            </w:r>
          </w:p>
        </w:tc>
        <w:tc>
          <w:tcPr>
            <w:tcW w:w="115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712C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通讯作者（含共同）</w:t>
            </w:r>
          </w:p>
        </w:tc>
        <w:tc>
          <w:tcPr>
            <w:tcW w:w="97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A859A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第一作者（含共同）</w:t>
            </w:r>
          </w:p>
        </w:tc>
        <w:tc>
          <w:tcPr>
            <w:tcW w:w="8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AA32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国内作者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0B8C82F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他引总次数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2AE2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检索数据库</w:t>
            </w:r>
          </w:p>
        </w:tc>
        <w:tc>
          <w:tcPr>
            <w:tcW w:w="137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4960BC2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论文署名单位是否包含国外单位</w:t>
            </w:r>
          </w:p>
        </w:tc>
      </w:tr>
      <w:tr w14:paraId="2E70B2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90F0AE">
            <w:pPr>
              <w:adjustRightInd w:val="0"/>
              <w:snapToGrid w:val="0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80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5D2A731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i/>
                <w:iCs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Stearic acid desaturase gene negatively regulates the thermotolerance of 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>Pinellia ternata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 by modifying the saturated levels of fatty acids/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instrText xml:space="preserve"> HYPERLINK "javascript:void(0)"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Industrial Crops and Pr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oducts/张晗，张泽宇，熊雨婕，施江，陈诚，潘袁媛，薛涛，薛建平，段永波</w:t>
            </w:r>
          </w:p>
        </w:tc>
        <w:tc>
          <w:tcPr>
            <w:tcW w:w="13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8A8FAF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2021年166卷113490页</w:t>
            </w:r>
          </w:p>
        </w:tc>
        <w:tc>
          <w:tcPr>
            <w:tcW w:w="10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1CF2A7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2021.04.09</w:t>
            </w:r>
          </w:p>
        </w:tc>
        <w:tc>
          <w:tcPr>
            <w:tcW w:w="115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35568C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段永波</w:t>
            </w:r>
          </w:p>
        </w:tc>
        <w:tc>
          <w:tcPr>
            <w:tcW w:w="97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A2DD9C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张晗</w:t>
            </w:r>
          </w:p>
        </w:tc>
        <w:tc>
          <w:tcPr>
            <w:tcW w:w="8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77558F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是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4B5A0D18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58B52C28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6A874C33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103B4886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21</w:t>
            </w:r>
          </w:p>
          <w:p w14:paraId="270CFEE1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279AE7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SCI</w:t>
            </w:r>
          </w:p>
        </w:tc>
        <w:tc>
          <w:tcPr>
            <w:tcW w:w="137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0833EAB5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否</w:t>
            </w:r>
          </w:p>
        </w:tc>
      </w:tr>
      <w:tr w14:paraId="76A35B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</w:trPr>
        <w:tc>
          <w:tcPr>
            <w:tcW w:w="84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F5B33D">
            <w:pPr>
              <w:adjustRightInd w:val="0"/>
              <w:snapToGrid w:val="0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80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7886FB9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Full-length transcriptome analysis of shade-induced promotion of tuber production in 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>Pinellia ternata/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instrText xml:space="preserve"> HYPERLINK "javascript:void(0)"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BMC Plant Bi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ology/薛涛，张晗，张媛媛，魏淑琴，晁秋杰，朱艳芳，滕井通，张爱民，盛玮，段永波，薛建平</w:t>
            </w:r>
          </w:p>
        </w:tc>
        <w:tc>
          <w:tcPr>
            <w:tcW w:w="13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99E8D4A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2019年19卷565页</w:t>
            </w:r>
          </w:p>
        </w:tc>
        <w:tc>
          <w:tcPr>
            <w:tcW w:w="10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4349B37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2019.12.18</w:t>
            </w:r>
          </w:p>
        </w:tc>
        <w:tc>
          <w:tcPr>
            <w:tcW w:w="115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428947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薛建平，段永波</w:t>
            </w:r>
          </w:p>
        </w:tc>
        <w:tc>
          <w:tcPr>
            <w:tcW w:w="97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594E1B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薛涛</w:t>
            </w:r>
          </w:p>
        </w:tc>
        <w:tc>
          <w:tcPr>
            <w:tcW w:w="84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8D6DD8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是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233D074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78D0CF59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7DAF8808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5202A11A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7A24DDC6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0C829B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SCI</w:t>
            </w:r>
          </w:p>
        </w:tc>
        <w:tc>
          <w:tcPr>
            <w:tcW w:w="137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7EC17B04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否</w:t>
            </w:r>
          </w:p>
        </w:tc>
      </w:tr>
      <w:tr w14:paraId="43756D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2" w:hRule="exact"/>
        </w:trPr>
        <w:tc>
          <w:tcPr>
            <w:tcW w:w="84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9A97FE">
            <w:pPr>
              <w:adjustRightInd w:val="0"/>
              <w:snapToGrid w:val="0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F1502B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bookmarkStart w:id="0" w:name="OLE_LINK14"/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UHPLC-MS-based metabolomic approach for the quality evaluation of </w:t>
            </w:r>
            <w:r>
              <w:rPr>
                <w:rFonts w:hint="default" w:ascii="Times New Roman" w:hAnsi="Times New Roman" w:eastAsia="仿宋_GB2312" w:cs="Times New Roman"/>
                <w:i/>
                <w:iCs/>
                <w:sz w:val="24"/>
                <w:szCs w:val="24"/>
                <w:highlight w:val="none"/>
              </w:rPr>
              <w:t>Pinellia ternata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tubers grown in shaded environments</w:t>
            </w:r>
            <w:bookmarkEnd w:id="0"/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>/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Journal of Natural Medicines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>/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薛涛，熊雨婕，施江，晁秋杰，朱艳芳，段永波，盛玮，滕井通，薛建平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E504DD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2021年75卷1050-1057页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1C05D5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2021.07.17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CB5F49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滕井通，薛建平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86DCBA6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薛涛，熊雨婕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34935ED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是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287C68B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1DD89824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0EE2EC06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CA8523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SCI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45C3AA4C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否</w:t>
            </w:r>
          </w:p>
        </w:tc>
      </w:tr>
      <w:tr w14:paraId="5FDED1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8" w:hRule="exact"/>
        </w:trPr>
        <w:tc>
          <w:tcPr>
            <w:tcW w:w="84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8C7901D">
            <w:pPr>
              <w:adjustRightInd w:val="0"/>
              <w:snapToGrid w:val="0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3A614A5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Functional characterization of the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/>
                <w:iCs/>
                <w:sz w:val="24"/>
                <w:szCs w:val="24"/>
                <w:highlight w:val="none"/>
              </w:rPr>
              <w:t>Pinellia ternata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cytoplasmic class II small heat shock protein gene PtsHSP17.2 via promoter analysis and overexpression in tobacco/</w:t>
            </w:r>
            <w:bookmarkStart w:id="1" w:name="OLE_LINK31"/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Plant Physiology and Biochemistry</w:t>
            </w:r>
            <w:bookmarkEnd w:id="1"/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/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田晨，张泽宇，黄悦，徐娟娟，刘柱，项子曼，赵丰兰，薛建平，薛涛，段永波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7CC8E9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2022年177卷1-9页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7C6A22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2022.02.20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754FCD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薛涛，段永波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D5A1C9D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田晨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6676440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是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688C9440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74205B99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1867028E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38EB7545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20FA0E4E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30E97BB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SCI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294D6255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否</w:t>
            </w:r>
          </w:p>
        </w:tc>
      </w:tr>
      <w:tr w14:paraId="1CB10A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7" w:hRule="exact"/>
        </w:trPr>
        <w:tc>
          <w:tcPr>
            <w:tcW w:w="84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75F858">
            <w:pPr>
              <w:adjustRightInd w:val="0"/>
              <w:snapToGrid w:val="0"/>
              <w:jc w:val="both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440BD1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bookmarkStart w:id="2" w:name="OLE_LINK57"/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Integrated analysis of transcriptome and miRNAome reveals the heat stress response of </w:t>
            </w:r>
            <w:r>
              <w:rPr>
                <w:rFonts w:hint="default" w:ascii="Times New Roman" w:hAnsi="Times New Roman" w:eastAsia="仿宋_GB2312" w:cs="Times New Roman"/>
                <w:i/>
                <w:iCs/>
                <w:sz w:val="24"/>
                <w:szCs w:val="24"/>
                <w:highlight w:val="none"/>
              </w:rPr>
              <w:t>Pinellia ternata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seedlings</w:t>
            </w:r>
            <w:bookmarkEnd w:id="2"/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/BMC Genomics/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伯晨，刘梦梦，尤倩，刘晓，朱艳芳，段永波，王德信，薛涛，薛建平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B3A5E4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2024年25卷398页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4AE96E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2024.04.23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E99B5F2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王德信，薛涛，薛建平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DB2D4AE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伯晨，刘梦梦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D30EDA5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是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35FAAEEE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6D15A70B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49FB9467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</w:p>
          <w:p w14:paraId="331B8C15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42D9CF68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38F69116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0C9E9BF9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717238E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SCI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128F6F81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否</w:t>
            </w:r>
          </w:p>
        </w:tc>
      </w:tr>
      <w:tr w14:paraId="6F54AF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exact"/>
        </w:trPr>
        <w:tc>
          <w:tcPr>
            <w:tcW w:w="84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CE1247">
            <w:pPr>
              <w:adjustRightInd w:val="0"/>
              <w:snapToGrid w:val="0"/>
              <w:jc w:val="both"/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BE2CE5A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高温胁迫诱导半夏基因组甲基化的变异分析/中国中药杂志/晁秋杰，刘晓，韩磊，马晨晨，高荣荣，陈颖，施江，熊雨婕，薛涛，薛建平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C32D3F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2020年45卷341-346页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03D2FF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2020.01.15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9DA730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薛涛，薛建平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CE889E0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晁秋杰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5D95D0D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是</w:t>
            </w:r>
          </w:p>
          <w:p w14:paraId="7947CAC5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 w14:paraId="1F5B14D7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043B48C3"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 w14:paraId="46158EA9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C1F47E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CSCD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56AD5B63">
            <w:pPr>
              <w:adjustRightInd w:val="0"/>
              <w:snapToGrid w:val="0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否</w:t>
            </w:r>
          </w:p>
        </w:tc>
      </w:tr>
    </w:tbl>
    <w:p w14:paraId="03281183">
      <w:pPr>
        <w:ind w:firstLine="600"/>
        <w:jc w:val="both"/>
        <w:rPr>
          <w:rFonts w:hint="default" w:ascii="Times New Roman" w:hAnsi="Times New Roman" w:eastAsia="方正仿宋_GBK" w:cs="Times New Roman"/>
        </w:rPr>
      </w:pPr>
    </w:p>
    <w:p w14:paraId="7549C213">
      <w:pPr>
        <w:ind w:left="2820" w:leftChars="200" w:hanging="2220" w:hangingChars="7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. 主要完成人：段永波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薛涛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伯晨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朱艳芳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赵丰兰</w:t>
      </w:r>
    </w:p>
    <w:p w14:paraId="7C38C0A7">
      <w:pPr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. 主要完成单位：</w:t>
      </w:r>
      <w:r>
        <w:rPr>
          <w:rFonts w:hint="default" w:ascii="Times New Roman" w:hAnsi="Times New Roman" w:cs="Times New Roman"/>
          <w:lang w:val="en-US" w:eastAsia="zh-CN"/>
        </w:rPr>
        <w:t>淮北师范大学</w:t>
      </w:r>
    </w:p>
    <w:p w14:paraId="61FB1EDF">
      <w:pPr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</w:t>
      </w:r>
    </w:p>
    <w:sectPr>
      <w:pgSz w:w="16838" w:h="11906" w:orient="landscape"/>
      <w:pgMar w:top="1587" w:right="1814" w:bottom="1587" w:left="181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8A2999-FF97-49A5-9A8B-330629DB58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A39EFE0-7E24-4026-A04B-D06C372F8C4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18DA578-C537-4E9B-BC86-D8BD4FF7CEC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5F2A064-D976-48E2-B7A7-ED000CD7196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36FF489-1AF6-4B92-8895-5C080A9B06BD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6" w:fontKey="{2E319AAF-AEC0-4E4E-94DB-5308D8DBBD9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F1F861A1-C61D-4153-9777-9D7D112EE8C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F9"/>
    <w:rsid w:val="00535E7A"/>
    <w:rsid w:val="007B4CD8"/>
    <w:rsid w:val="008B60F9"/>
    <w:rsid w:val="00B06E28"/>
    <w:rsid w:val="01EE3341"/>
    <w:rsid w:val="021D04ED"/>
    <w:rsid w:val="057B5C57"/>
    <w:rsid w:val="05DD06BF"/>
    <w:rsid w:val="06175087"/>
    <w:rsid w:val="0AD02292"/>
    <w:rsid w:val="0B243249"/>
    <w:rsid w:val="0CC63A4D"/>
    <w:rsid w:val="0E76520D"/>
    <w:rsid w:val="0FCF34A5"/>
    <w:rsid w:val="10994852"/>
    <w:rsid w:val="10FB7C4C"/>
    <w:rsid w:val="11F922E4"/>
    <w:rsid w:val="132C0590"/>
    <w:rsid w:val="14F831BE"/>
    <w:rsid w:val="15437E13"/>
    <w:rsid w:val="154D2A40"/>
    <w:rsid w:val="161F409A"/>
    <w:rsid w:val="16AE5760"/>
    <w:rsid w:val="179D1A5D"/>
    <w:rsid w:val="1AA50C28"/>
    <w:rsid w:val="1F7A08D5"/>
    <w:rsid w:val="204F3B10"/>
    <w:rsid w:val="20C95670"/>
    <w:rsid w:val="20E26732"/>
    <w:rsid w:val="2185313F"/>
    <w:rsid w:val="221072CF"/>
    <w:rsid w:val="222D1C2F"/>
    <w:rsid w:val="233704D9"/>
    <w:rsid w:val="237247A3"/>
    <w:rsid w:val="23AD1279"/>
    <w:rsid w:val="24542675"/>
    <w:rsid w:val="25CD79B1"/>
    <w:rsid w:val="273B6B9C"/>
    <w:rsid w:val="27624129"/>
    <w:rsid w:val="28577A06"/>
    <w:rsid w:val="290336EA"/>
    <w:rsid w:val="295977AD"/>
    <w:rsid w:val="297D524A"/>
    <w:rsid w:val="2B2142FB"/>
    <w:rsid w:val="2B520958"/>
    <w:rsid w:val="2BF33EE9"/>
    <w:rsid w:val="2CD23AFF"/>
    <w:rsid w:val="2E206AEC"/>
    <w:rsid w:val="2F5A7DDB"/>
    <w:rsid w:val="30654C8A"/>
    <w:rsid w:val="308A649E"/>
    <w:rsid w:val="3091782D"/>
    <w:rsid w:val="32877139"/>
    <w:rsid w:val="33010C9A"/>
    <w:rsid w:val="35B534EB"/>
    <w:rsid w:val="37D54A76"/>
    <w:rsid w:val="38207E14"/>
    <w:rsid w:val="3821593A"/>
    <w:rsid w:val="3A4A73CA"/>
    <w:rsid w:val="3A802DEC"/>
    <w:rsid w:val="3B563B4D"/>
    <w:rsid w:val="3C2052F0"/>
    <w:rsid w:val="3C277297"/>
    <w:rsid w:val="3C580899"/>
    <w:rsid w:val="3E695768"/>
    <w:rsid w:val="3FAA26B9"/>
    <w:rsid w:val="40B80747"/>
    <w:rsid w:val="41313092"/>
    <w:rsid w:val="425F59DD"/>
    <w:rsid w:val="42EA76AE"/>
    <w:rsid w:val="43343EBD"/>
    <w:rsid w:val="439416B6"/>
    <w:rsid w:val="46BD0F24"/>
    <w:rsid w:val="4A595408"/>
    <w:rsid w:val="4B294DDA"/>
    <w:rsid w:val="4B9C25B4"/>
    <w:rsid w:val="4CFB6302"/>
    <w:rsid w:val="4DED0341"/>
    <w:rsid w:val="4F6C3DA5"/>
    <w:rsid w:val="5147420C"/>
    <w:rsid w:val="52952D55"/>
    <w:rsid w:val="572C2786"/>
    <w:rsid w:val="579D552A"/>
    <w:rsid w:val="59CA7788"/>
    <w:rsid w:val="59F12F67"/>
    <w:rsid w:val="5A676259"/>
    <w:rsid w:val="5B084A0C"/>
    <w:rsid w:val="5BC67479"/>
    <w:rsid w:val="5C7424D0"/>
    <w:rsid w:val="5D042FB1"/>
    <w:rsid w:val="5E1C56A1"/>
    <w:rsid w:val="5F2636B2"/>
    <w:rsid w:val="60F65306"/>
    <w:rsid w:val="62092E18"/>
    <w:rsid w:val="63456658"/>
    <w:rsid w:val="6414335E"/>
    <w:rsid w:val="64D42F2C"/>
    <w:rsid w:val="651D10B4"/>
    <w:rsid w:val="673C038F"/>
    <w:rsid w:val="676F7BC1"/>
    <w:rsid w:val="67E81E4D"/>
    <w:rsid w:val="67F87BB6"/>
    <w:rsid w:val="68955405"/>
    <w:rsid w:val="68E1064A"/>
    <w:rsid w:val="69321ACA"/>
    <w:rsid w:val="6A813E93"/>
    <w:rsid w:val="6B5275DD"/>
    <w:rsid w:val="6D0B3EE8"/>
    <w:rsid w:val="6D8D0DA1"/>
    <w:rsid w:val="6DCD0D40"/>
    <w:rsid w:val="71AA0173"/>
    <w:rsid w:val="72DD1E82"/>
    <w:rsid w:val="73326672"/>
    <w:rsid w:val="7536460F"/>
    <w:rsid w:val="755F534E"/>
    <w:rsid w:val="75A20320"/>
    <w:rsid w:val="75DF5F11"/>
    <w:rsid w:val="78F030FA"/>
    <w:rsid w:val="7B272834"/>
    <w:rsid w:val="7BDE2FBB"/>
    <w:rsid w:val="7D3354C1"/>
    <w:rsid w:val="7F440B93"/>
    <w:rsid w:val="7F710522"/>
    <w:rsid w:val="7F961D37"/>
    <w:rsid w:val="7FE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723" w:firstLineChars="200"/>
      <w:jc w:val="both"/>
    </w:pPr>
    <w:rPr>
      <w:rFonts w:ascii="Times New Roman" w:hAnsi="Times New Roman" w:eastAsia="仿宋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2314</Words>
  <Characters>3128</Characters>
  <Lines>11</Lines>
  <Paragraphs>3</Paragraphs>
  <TotalTime>0</TotalTime>
  <ScaleCrop>false</ScaleCrop>
  <LinksUpToDate>false</LinksUpToDate>
  <CharactersWithSpaces>3243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2026-08-30T08:28:00Z</dcterms:created>
  <dc:creator>js</dc:creator>
  <cp:lastModifiedBy>yb</cp:lastModifiedBy>
  <dcterms:modified xsi:type="dcterms:W3CDTF">2026-09-03T06:24:18Z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C407D05A94CB4C3DB4FEE67C6F9509C4_13</vt:lpwstr>
  </property>
  <property fmtid="{D5CDD505-2E9C-101B-9397-08002B2CF9AE}" pid="4" name="KSOTemplateDocerSaveRecord">
    <vt:lpwstr>eyJoZGlkIjoiOTY3MDgwMGM1ZTEzNzBiOWYzYTllMzJmODkzZjY5OTciLCJ1c2VySWQiOiIyNzkyNDc5NDEifQ==</vt:lpwstr>
  </property>
</Properties>
</file>